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D7409" w14:textId="1B1501C3" w:rsidR="00214489" w:rsidRPr="00864CC0" w:rsidRDefault="00214489" w:rsidP="003607CF">
      <w:pPr>
        <w:spacing w:line="240" w:lineRule="auto"/>
        <w:jc w:val="left"/>
        <w:rPr>
          <w:rFonts w:ascii="Tahoma" w:hAnsi="Tahoma" w:cs="Tahoma"/>
          <w:b/>
          <w:color w:val="000000"/>
        </w:rPr>
      </w:pPr>
    </w:p>
    <w:p w14:paraId="2993CCAB" w14:textId="77777777" w:rsidR="00214489" w:rsidRPr="00864CC0" w:rsidRDefault="00214489" w:rsidP="003607CF">
      <w:pPr>
        <w:spacing w:line="240" w:lineRule="auto"/>
        <w:jc w:val="left"/>
        <w:rPr>
          <w:rFonts w:ascii="Tahoma" w:hAnsi="Tahoma" w:cs="Tahoma"/>
          <w:b/>
          <w:color w:val="000000"/>
        </w:rPr>
      </w:pPr>
    </w:p>
    <w:p w14:paraId="2E903687" w14:textId="5258B5DA" w:rsidR="00A17A20" w:rsidRPr="00864CC0" w:rsidRDefault="002339C5" w:rsidP="003607CF">
      <w:pPr>
        <w:spacing w:line="240" w:lineRule="auto"/>
        <w:jc w:val="left"/>
        <w:rPr>
          <w:rFonts w:ascii="Tahoma" w:hAnsi="Tahoma" w:cs="Tahoma"/>
          <w:b/>
          <w:color w:val="000000"/>
        </w:rPr>
      </w:pPr>
      <w:r>
        <w:rPr>
          <w:rFonts w:ascii="Tahoma" w:hAnsi="Tahoma" w:cs="Tahoma"/>
          <w:b/>
          <w:color w:val="000000"/>
        </w:rPr>
        <w:t xml:space="preserve">SPECIAL </w:t>
      </w:r>
      <w:r w:rsidR="00A17A20" w:rsidRPr="00864CC0">
        <w:rPr>
          <w:rFonts w:ascii="Tahoma" w:hAnsi="Tahoma" w:cs="Tahoma"/>
          <w:b/>
          <w:color w:val="000000"/>
        </w:rPr>
        <w:t xml:space="preserve">MEETING OF THE OSPREY HOUSING </w:t>
      </w:r>
      <w:r w:rsidR="00595BAB">
        <w:rPr>
          <w:rFonts w:ascii="Tahoma" w:hAnsi="Tahoma" w:cs="Tahoma"/>
          <w:b/>
          <w:color w:val="000000"/>
        </w:rPr>
        <w:t>BOARD</w:t>
      </w:r>
      <w:r w:rsidR="00A17A20" w:rsidRPr="00864CC0">
        <w:rPr>
          <w:rFonts w:ascii="Tahoma" w:hAnsi="Tahoma" w:cs="Tahoma"/>
          <w:b/>
          <w:color w:val="000000"/>
        </w:rPr>
        <w:t xml:space="preserve"> </w:t>
      </w:r>
    </w:p>
    <w:p w14:paraId="2ED92A12" w14:textId="3F70F341" w:rsidR="00A17A20" w:rsidRPr="00864CC0" w:rsidRDefault="002339C5" w:rsidP="003607CF">
      <w:pPr>
        <w:spacing w:line="240" w:lineRule="auto"/>
        <w:jc w:val="left"/>
        <w:rPr>
          <w:rFonts w:ascii="Tahoma" w:hAnsi="Tahoma" w:cs="Tahoma"/>
          <w:color w:val="000000"/>
        </w:rPr>
      </w:pPr>
      <w:r>
        <w:rPr>
          <w:rFonts w:ascii="Tahoma" w:hAnsi="Tahoma" w:cs="Tahoma"/>
          <w:b/>
          <w:bCs/>
          <w:color w:val="000000" w:themeColor="text1"/>
        </w:rPr>
        <w:t>9 FEBRUARY 2022 HYBRID WESTHILL HOLIDAY INN/ZOOM</w:t>
      </w:r>
    </w:p>
    <w:p w14:paraId="1334042C" w14:textId="77777777" w:rsidR="00B02973" w:rsidRPr="00864CC0" w:rsidRDefault="00B02973" w:rsidP="003607CF">
      <w:pPr>
        <w:spacing w:line="240" w:lineRule="auto"/>
        <w:jc w:val="left"/>
        <w:rPr>
          <w:rFonts w:ascii="Tahoma" w:hAnsi="Tahoma" w:cs="Tahoma"/>
          <w:color w:val="000000"/>
        </w:rPr>
      </w:pPr>
    </w:p>
    <w:tbl>
      <w:tblPr>
        <w:tblpPr w:leftFromText="180" w:rightFromText="180" w:vertAnchor="text" w:tblpY="1"/>
        <w:tblOverlap w:val="never"/>
        <w:tblW w:w="9180" w:type="dxa"/>
        <w:tblLook w:val="01E0" w:firstRow="1" w:lastRow="1" w:firstColumn="1" w:lastColumn="1" w:noHBand="0" w:noVBand="0"/>
      </w:tblPr>
      <w:tblGrid>
        <w:gridCol w:w="1668"/>
        <w:gridCol w:w="7512"/>
      </w:tblGrid>
      <w:tr w:rsidR="00A17A20" w:rsidRPr="00864CC0" w14:paraId="46FD46B6" w14:textId="77777777" w:rsidTr="00C906BB">
        <w:tc>
          <w:tcPr>
            <w:tcW w:w="1668" w:type="dxa"/>
          </w:tcPr>
          <w:p w14:paraId="5C2FBC18" w14:textId="77777777" w:rsidR="00A17A20" w:rsidRPr="00864CC0" w:rsidRDefault="00A17A20" w:rsidP="003607CF">
            <w:pPr>
              <w:spacing w:line="240" w:lineRule="auto"/>
              <w:jc w:val="left"/>
              <w:rPr>
                <w:rFonts w:ascii="Tahoma" w:hAnsi="Tahoma" w:cs="Tahoma"/>
                <w:color w:val="000000"/>
              </w:rPr>
            </w:pPr>
            <w:r w:rsidRPr="00864CC0">
              <w:rPr>
                <w:rFonts w:ascii="Tahoma" w:hAnsi="Tahoma" w:cs="Tahoma"/>
                <w:color w:val="000000"/>
              </w:rPr>
              <w:t>Present:</w:t>
            </w:r>
          </w:p>
        </w:tc>
        <w:tc>
          <w:tcPr>
            <w:tcW w:w="7512" w:type="dxa"/>
          </w:tcPr>
          <w:p w14:paraId="2E4FD078" w14:textId="50ED4D13" w:rsidR="00A17A20" w:rsidRPr="00864CC0" w:rsidRDefault="00A17A20" w:rsidP="003607CF">
            <w:pPr>
              <w:tabs>
                <w:tab w:val="left" w:pos="540"/>
                <w:tab w:val="left" w:pos="1080"/>
                <w:tab w:val="left" w:pos="1440"/>
              </w:tabs>
              <w:spacing w:line="240" w:lineRule="auto"/>
              <w:jc w:val="left"/>
              <w:rPr>
                <w:rFonts w:ascii="Tahoma" w:hAnsi="Tahoma" w:cs="Tahoma"/>
                <w:color w:val="000000"/>
              </w:rPr>
            </w:pPr>
            <w:r w:rsidRPr="1478B4C3">
              <w:rPr>
                <w:rFonts w:ascii="Tahoma" w:hAnsi="Tahoma" w:cs="Tahoma"/>
                <w:color w:val="000000" w:themeColor="text1"/>
              </w:rPr>
              <w:t>Mike Scott, Director OH Board</w:t>
            </w:r>
            <w:r w:rsidR="00B35FF3" w:rsidRPr="1478B4C3">
              <w:rPr>
                <w:rFonts w:ascii="Tahoma" w:hAnsi="Tahoma" w:cs="Tahoma"/>
                <w:color w:val="000000" w:themeColor="text1"/>
              </w:rPr>
              <w:t>:</w:t>
            </w:r>
            <w:r w:rsidR="00373633" w:rsidRPr="1478B4C3">
              <w:rPr>
                <w:rFonts w:ascii="Tahoma" w:hAnsi="Tahoma" w:cs="Tahoma"/>
                <w:color w:val="000000" w:themeColor="text1"/>
              </w:rPr>
              <w:t xml:space="preserve"> Chair</w:t>
            </w:r>
            <w:r w:rsidR="1952D36A" w:rsidRPr="1478B4C3">
              <w:rPr>
                <w:rFonts w:ascii="Tahoma" w:hAnsi="Tahoma" w:cs="Tahoma"/>
                <w:color w:val="000000" w:themeColor="text1"/>
              </w:rPr>
              <w:t xml:space="preserve"> (MS)</w:t>
            </w:r>
          </w:p>
        </w:tc>
      </w:tr>
      <w:tr w:rsidR="002339C5" w:rsidRPr="00864CC0" w14:paraId="0DF81206" w14:textId="77777777" w:rsidTr="00C906BB">
        <w:tc>
          <w:tcPr>
            <w:tcW w:w="1668" w:type="dxa"/>
          </w:tcPr>
          <w:p w14:paraId="0557CC01" w14:textId="77777777" w:rsidR="002339C5" w:rsidRPr="00864CC0" w:rsidRDefault="002339C5" w:rsidP="003607CF">
            <w:pPr>
              <w:spacing w:line="240" w:lineRule="auto"/>
              <w:jc w:val="left"/>
              <w:rPr>
                <w:rFonts w:ascii="Tahoma" w:hAnsi="Tahoma" w:cs="Tahoma"/>
                <w:color w:val="000000"/>
              </w:rPr>
            </w:pPr>
          </w:p>
        </w:tc>
        <w:tc>
          <w:tcPr>
            <w:tcW w:w="7512" w:type="dxa"/>
          </w:tcPr>
          <w:p w14:paraId="1439F1A5" w14:textId="1B48F0AC" w:rsidR="002339C5" w:rsidRPr="1478B4C3" w:rsidRDefault="002339C5" w:rsidP="003607CF">
            <w:pPr>
              <w:tabs>
                <w:tab w:val="left" w:pos="540"/>
                <w:tab w:val="left" w:pos="1080"/>
                <w:tab w:val="left" w:pos="1440"/>
              </w:tabs>
              <w:spacing w:line="240" w:lineRule="auto"/>
              <w:jc w:val="left"/>
              <w:rPr>
                <w:rFonts w:ascii="Tahoma" w:hAnsi="Tahoma" w:cs="Tahoma"/>
                <w:color w:val="000000" w:themeColor="text1"/>
              </w:rPr>
            </w:pPr>
            <w:r>
              <w:rPr>
                <w:rFonts w:ascii="Tahoma" w:hAnsi="Tahoma" w:cs="Tahoma"/>
                <w:color w:val="000000" w:themeColor="text1"/>
              </w:rPr>
              <w:t>Les Allan, Director OH Board: Vice Chair (LA)</w:t>
            </w:r>
          </w:p>
        </w:tc>
      </w:tr>
      <w:tr w:rsidR="00A17A20" w:rsidRPr="00864CC0" w14:paraId="07B7B0F7" w14:textId="77777777" w:rsidTr="00C906BB">
        <w:tc>
          <w:tcPr>
            <w:tcW w:w="1668" w:type="dxa"/>
          </w:tcPr>
          <w:p w14:paraId="38CDB9E7" w14:textId="77777777" w:rsidR="00A17A20" w:rsidRPr="00864CC0" w:rsidRDefault="00A17A20" w:rsidP="003607CF">
            <w:pPr>
              <w:tabs>
                <w:tab w:val="left" w:pos="540"/>
                <w:tab w:val="left" w:pos="1080"/>
                <w:tab w:val="left" w:pos="1440"/>
              </w:tabs>
              <w:spacing w:line="240" w:lineRule="auto"/>
              <w:jc w:val="left"/>
              <w:rPr>
                <w:rFonts w:ascii="Tahoma" w:hAnsi="Tahoma" w:cs="Tahoma"/>
                <w:color w:val="000000"/>
              </w:rPr>
            </w:pPr>
          </w:p>
        </w:tc>
        <w:tc>
          <w:tcPr>
            <w:tcW w:w="7512" w:type="dxa"/>
          </w:tcPr>
          <w:p w14:paraId="4761A304" w14:textId="4B5FB30B" w:rsidR="00A17A20" w:rsidRPr="00864CC0" w:rsidRDefault="00A17A20" w:rsidP="003607CF">
            <w:pPr>
              <w:tabs>
                <w:tab w:val="left" w:pos="540"/>
                <w:tab w:val="left" w:pos="1080"/>
                <w:tab w:val="left" w:pos="1440"/>
              </w:tabs>
              <w:spacing w:line="240" w:lineRule="auto"/>
              <w:jc w:val="left"/>
              <w:rPr>
                <w:rFonts w:ascii="Tahoma" w:hAnsi="Tahoma" w:cs="Tahoma"/>
                <w:color w:val="000000"/>
              </w:rPr>
            </w:pPr>
            <w:r w:rsidRPr="00864CC0">
              <w:rPr>
                <w:rFonts w:ascii="Tahoma" w:hAnsi="Tahoma" w:cs="Tahoma"/>
                <w:color w:val="000000"/>
              </w:rPr>
              <w:t>Stuart Robertson, Director OH Board (SR)</w:t>
            </w:r>
            <w:r w:rsidR="002339C5">
              <w:rPr>
                <w:rFonts w:ascii="Tahoma" w:hAnsi="Tahoma" w:cs="Tahoma"/>
                <w:color w:val="000000"/>
              </w:rPr>
              <w:t xml:space="preserve"> (Zoom)</w:t>
            </w:r>
          </w:p>
        </w:tc>
      </w:tr>
      <w:tr w:rsidR="00A17A20" w:rsidRPr="00864CC0" w14:paraId="7F27091C" w14:textId="77777777" w:rsidTr="00C906BB">
        <w:tc>
          <w:tcPr>
            <w:tcW w:w="1668" w:type="dxa"/>
          </w:tcPr>
          <w:p w14:paraId="2D0CA569" w14:textId="77777777" w:rsidR="00A17A20" w:rsidRPr="00864CC0" w:rsidRDefault="00A17A20" w:rsidP="003607CF">
            <w:pPr>
              <w:tabs>
                <w:tab w:val="left" w:pos="540"/>
                <w:tab w:val="left" w:pos="1080"/>
                <w:tab w:val="left" w:pos="1440"/>
              </w:tabs>
              <w:spacing w:line="240" w:lineRule="auto"/>
              <w:jc w:val="left"/>
              <w:rPr>
                <w:rFonts w:ascii="Tahoma" w:hAnsi="Tahoma" w:cs="Tahoma"/>
                <w:color w:val="000000"/>
              </w:rPr>
            </w:pPr>
          </w:p>
        </w:tc>
        <w:tc>
          <w:tcPr>
            <w:tcW w:w="7512" w:type="dxa"/>
          </w:tcPr>
          <w:p w14:paraId="59327107" w14:textId="0C5D3CBF" w:rsidR="00A17A20" w:rsidRPr="00864CC0" w:rsidRDefault="00A17A20" w:rsidP="003607CF">
            <w:pPr>
              <w:tabs>
                <w:tab w:val="left" w:pos="540"/>
                <w:tab w:val="left" w:pos="1080"/>
                <w:tab w:val="left" w:pos="1440"/>
              </w:tabs>
              <w:spacing w:line="240" w:lineRule="auto"/>
              <w:jc w:val="left"/>
              <w:rPr>
                <w:rFonts w:ascii="Tahoma" w:hAnsi="Tahoma" w:cs="Tahoma"/>
                <w:color w:val="000000"/>
              </w:rPr>
            </w:pPr>
            <w:r w:rsidRPr="1478B4C3">
              <w:rPr>
                <w:rFonts w:ascii="Tahoma" w:hAnsi="Tahoma" w:cs="Tahoma"/>
                <w:color w:val="000000" w:themeColor="text1"/>
              </w:rPr>
              <w:t>Brian Topping, Director OH Board (BT)</w:t>
            </w:r>
            <w:r w:rsidR="002339C5">
              <w:rPr>
                <w:rFonts w:ascii="Tahoma" w:hAnsi="Tahoma" w:cs="Tahoma"/>
                <w:color w:val="000000" w:themeColor="text1"/>
              </w:rPr>
              <w:t xml:space="preserve"> (Zoom)</w:t>
            </w:r>
          </w:p>
        </w:tc>
      </w:tr>
      <w:tr w:rsidR="00A17A20" w:rsidRPr="00864CC0" w14:paraId="2E4D6751" w14:textId="77777777" w:rsidTr="00C906BB">
        <w:tc>
          <w:tcPr>
            <w:tcW w:w="1668" w:type="dxa"/>
          </w:tcPr>
          <w:p w14:paraId="179562C6" w14:textId="77777777" w:rsidR="00A17A20" w:rsidRPr="00864CC0" w:rsidRDefault="00A17A20" w:rsidP="003607CF">
            <w:pPr>
              <w:tabs>
                <w:tab w:val="left" w:pos="540"/>
                <w:tab w:val="left" w:pos="1080"/>
                <w:tab w:val="left" w:pos="1440"/>
              </w:tabs>
              <w:spacing w:line="240" w:lineRule="auto"/>
              <w:jc w:val="left"/>
              <w:rPr>
                <w:rFonts w:ascii="Tahoma" w:hAnsi="Tahoma" w:cs="Tahoma"/>
                <w:color w:val="000000"/>
              </w:rPr>
            </w:pPr>
          </w:p>
        </w:tc>
        <w:tc>
          <w:tcPr>
            <w:tcW w:w="7512" w:type="dxa"/>
          </w:tcPr>
          <w:p w14:paraId="58FAF31C" w14:textId="77777777" w:rsidR="00A17A20" w:rsidRPr="00864CC0" w:rsidRDefault="00A17A20" w:rsidP="003607CF">
            <w:pPr>
              <w:tabs>
                <w:tab w:val="left" w:pos="540"/>
                <w:tab w:val="left" w:pos="1080"/>
                <w:tab w:val="left" w:pos="1440"/>
              </w:tabs>
              <w:spacing w:line="240" w:lineRule="auto"/>
              <w:jc w:val="left"/>
              <w:rPr>
                <w:rFonts w:ascii="Tahoma" w:hAnsi="Tahoma" w:cs="Tahoma"/>
                <w:color w:val="000000"/>
              </w:rPr>
            </w:pPr>
            <w:r w:rsidRPr="00864CC0">
              <w:rPr>
                <w:rFonts w:ascii="Tahoma" w:hAnsi="Tahoma" w:cs="Tahoma"/>
                <w:color w:val="000000"/>
              </w:rPr>
              <w:t>Jonathan Young, Director OH Board</w:t>
            </w:r>
          </w:p>
        </w:tc>
      </w:tr>
      <w:tr w:rsidR="00A17A20" w:rsidRPr="00864CC0" w14:paraId="33CC199C" w14:textId="77777777" w:rsidTr="00C906BB">
        <w:tc>
          <w:tcPr>
            <w:tcW w:w="1668" w:type="dxa"/>
          </w:tcPr>
          <w:p w14:paraId="6A8168B6" w14:textId="77777777" w:rsidR="00A17A20" w:rsidRPr="00864CC0" w:rsidRDefault="00A17A20" w:rsidP="003607CF">
            <w:pPr>
              <w:tabs>
                <w:tab w:val="left" w:pos="540"/>
                <w:tab w:val="left" w:pos="1080"/>
                <w:tab w:val="left" w:pos="1440"/>
              </w:tabs>
              <w:spacing w:line="240" w:lineRule="auto"/>
              <w:jc w:val="left"/>
              <w:rPr>
                <w:rFonts w:ascii="Tahoma" w:hAnsi="Tahoma" w:cs="Tahoma"/>
                <w:color w:val="000000"/>
              </w:rPr>
            </w:pPr>
          </w:p>
        </w:tc>
        <w:tc>
          <w:tcPr>
            <w:tcW w:w="7512" w:type="dxa"/>
          </w:tcPr>
          <w:p w14:paraId="019B099A" w14:textId="1F94A6E9" w:rsidR="00A17A20" w:rsidRPr="00864CC0" w:rsidRDefault="00A17A20" w:rsidP="003607CF">
            <w:pPr>
              <w:tabs>
                <w:tab w:val="left" w:pos="540"/>
                <w:tab w:val="left" w:pos="1080"/>
                <w:tab w:val="left" w:pos="1440"/>
              </w:tabs>
              <w:spacing w:line="240" w:lineRule="auto"/>
              <w:jc w:val="left"/>
              <w:rPr>
                <w:rFonts w:ascii="Tahoma" w:hAnsi="Tahoma" w:cs="Tahoma"/>
                <w:color w:val="000000"/>
              </w:rPr>
            </w:pPr>
            <w:proofErr w:type="spellStart"/>
            <w:r w:rsidRPr="1478B4C3">
              <w:rPr>
                <w:rFonts w:ascii="Tahoma" w:hAnsi="Tahoma" w:cs="Tahoma"/>
                <w:color w:val="000000" w:themeColor="text1"/>
              </w:rPr>
              <w:t>Rab</w:t>
            </w:r>
            <w:proofErr w:type="spellEnd"/>
            <w:r w:rsidRPr="1478B4C3">
              <w:rPr>
                <w:rFonts w:ascii="Tahoma" w:hAnsi="Tahoma" w:cs="Tahoma"/>
                <w:color w:val="000000" w:themeColor="text1"/>
              </w:rPr>
              <w:t xml:space="preserve"> Hepburn, Director OH Board (RH)</w:t>
            </w:r>
          </w:p>
        </w:tc>
      </w:tr>
      <w:tr w:rsidR="00A17A20" w:rsidRPr="00864CC0" w14:paraId="2C51A8DC" w14:textId="77777777" w:rsidTr="00C906BB">
        <w:tc>
          <w:tcPr>
            <w:tcW w:w="1668" w:type="dxa"/>
          </w:tcPr>
          <w:p w14:paraId="1AEAF28F" w14:textId="77777777" w:rsidR="00A17A20" w:rsidRPr="00864CC0" w:rsidRDefault="00A17A20" w:rsidP="003607CF">
            <w:pPr>
              <w:tabs>
                <w:tab w:val="left" w:pos="540"/>
                <w:tab w:val="left" w:pos="1080"/>
                <w:tab w:val="left" w:pos="1440"/>
              </w:tabs>
              <w:spacing w:line="240" w:lineRule="auto"/>
              <w:jc w:val="left"/>
              <w:rPr>
                <w:rFonts w:ascii="Tahoma" w:hAnsi="Tahoma" w:cs="Tahoma"/>
                <w:color w:val="000000"/>
              </w:rPr>
            </w:pPr>
          </w:p>
        </w:tc>
        <w:tc>
          <w:tcPr>
            <w:tcW w:w="7512" w:type="dxa"/>
          </w:tcPr>
          <w:p w14:paraId="426809ED" w14:textId="62E96EAB" w:rsidR="00A17A20" w:rsidRPr="00864CC0" w:rsidRDefault="00A17A20" w:rsidP="003607CF">
            <w:pPr>
              <w:tabs>
                <w:tab w:val="left" w:pos="540"/>
                <w:tab w:val="left" w:pos="1080"/>
                <w:tab w:val="left" w:pos="1440"/>
              </w:tabs>
              <w:spacing w:line="240" w:lineRule="auto"/>
              <w:jc w:val="left"/>
              <w:rPr>
                <w:rFonts w:ascii="Tahoma" w:hAnsi="Tahoma" w:cs="Tahoma"/>
                <w:color w:val="000000"/>
              </w:rPr>
            </w:pPr>
            <w:r w:rsidRPr="2632A529">
              <w:rPr>
                <w:rFonts w:ascii="Tahoma" w:hAnsi="Tahoma" w:cs="Tahoma"/>
                <w:color w:val="000000" w:themeColor="text1"/>
              </w:rPr>
              <w:t xml:space="preserve">Brian Watson, </w:t>
            </w:r>
            <w:r w:rsidR="00595BAB" w:rsidRPr="2632A529">
              <w:rPr>
                <w:rFonts w:ascii="Tahoma" w:hAnsi="Tahoma" w:cs="Tahoma"/>
                <w:color w:val="000000" w:themeColor="text1"/>
              </w:rPr>
              <w:t>Director OH Board</w:t>
            </w:r>
            <w:r w:rsidRPr="2632A529">
              <w:rPr>
                <w:rFonts w:ascii="Tahoma" w:hAnsi="Tahoma" w:cs="Tahoma"/>
                <w:color w:val="000000" w:themeColor="text1"/>
              </w:rPr>
              <w:t xml:space="preserve"> (BW)</w:t>
            </w:r>
          </w:p>
        </w:tc>
      </w:tr>
      <w:tr w:rsidR="00A17A20" w:rsidRPr="00864CC0" w14:paraId="0B6DAA4F" w14:textId="77777777" w:rsidTr="00C906BB">
        <w:tc>
          <w:tcPr>
            <w:tcW w:w="1668" w:type="dxa"/>
          </w:tcPr>
          <w:p w14:paraId="53C7B8A4" w14:textId="77777777" w:rsidR="00A17A20" w:rsidRPr="00864CC0" w:rsidRDefault="00A17A20" w:rsidP="003607CF">
            <w:pPr>
              <w:tabs>
                <w:tab w:val="left" w:pos="540"/>
                <w:tab w:val="left" w:pos="1080"/>
                <w:tab w:val="left" w:pos="1440"/>
              </w:tabs>
              <w:spacing w:line="240" w:lineRule="auto"/>
              <w:jc w:val="left"/>
              <w:rPr>
                <w:rFonts w:ascii="Tahoma" w:hAnsi="Tahoma" w:cs="Tahoma"/>
                <w:color w:val="000000"/>
              </w:rPr>
            </w:pPr>
          </w:p>
        </w:tc>
        <w:tc>
          <w:tcPr>
            <w:tcW w:w="7512" w:type="dxa"/>
          </w:tcPr>
          <w:p w14:paraId="300358AD" w14:textId="1C70FF65" w:rsidR="00A17A20" w:rsidRPr="00864CC0" w:rsidRDefault="00B02973" w:rsidP="003607CF">
            <w:pPr>
              <w:tabs>
                <w:tab w:val="left" w:pos="540"/>
                <w:tab w:val="left" w:pos="1080"/>
                <w:tab w:val="left" w:pos="1440"/>
              </w:tabs>
              <w:spacing w:line="240" w:lineRule="auto"/>
              <w:jc w:val="left"/>
              <w:rPr>
                <w:rFonts w:ascii="Tahoma" w:hAnsi="Tahoma" w:cs="Tahoma"/>
                <w:color w:val="000000"/>
              </w:rPr>
            </w:pPr>
            <w:r w:rsidRPr="00864CC0">
              <w:rPr>
                <w:rFonts w:ascii="Tahoma" w:hAnsi="Tahoma" w:cs="Tahoma"/>
                <w:color w:val="000000"/>
              </w:rPr>
              <w:t xml:space="preserve">Jim Milne, </w:t>
            </w:r>
            <w:r w:rsidR="00595BAB">
              <w:rPr>
                <w:rFonts w:ascii="Tahoma" w:hAnsi="Tahoma" w:cs="Tahoma"/>
                <w:color w:val="000000"/>
              </w:rPr>
              <w:t>Director OH Board</w:t>
            </w:r>
            <w:r w:rsidRPr="00864CC0">
              <w:rPr>
                <w:rFonts w:ascii="Tahoma" w:hAnsi="Tahoma" w:cs="Tahoma"/>
                <w:color w:val="000000"/>
              </w:rPr>
              <w:t xml:space="preserve"> (JM)</w:t>
            </w:r>
          </w:p>
        </w:tc>
      </w:tr>
      <w:tr w:rsidR="00086EB4" w:rsidRPr="00864CC0" w14:paraId="1A9BDF4D" w14:textId="77777777" w:rsidTr="00C906BB">
        <w:tc>
          <w:tcPr>
            <w:tcW w:w="1668" w:type="dxa"/>
          </w:tcPr>
          <w:p w14:paraId="6F70081A" w14:textId="77777777" w:rsidR="00086EB4" w:rsidRPr="00864CC0" w:rsidRDefault="00086EB4" w:rsidP="003607CF">
            <w:pPr>
              <w:tabs>
                <w:tab w:val="left" w:pos="540"/>
                <w:tab w:val="left" w:pos="1080"/>
                <w:tab w:val="left" w:pos="1440"/>
              </w:tabs>
              <w:spacing w:line="240" w:lineRule="auto"/>
              <w:jc w:val="left"/>
              <w:rPr>
                <w:rFonts w:ascii="Tahoma" w:hAnsi="Tahoma" w:cs="Tahoma"/>
                <w:color w:val="000000"/>
              </w:rPr>
            </w:pPr>
          </w:p>
        </w:tc>
        <w:tc>
          <w:tcPr>
            <w:tcW w:w="7512" w:type="dxa"/>
          </w:tcPr>
          <w:p w14:paraId="40EE1C85" w14:textId="6938417F" w:rsidR="00086EB4" w:rsidRPr="00864CC0" w:rsidRDefault="00214952" w:rsidP="003607CF">
            <w:pPr>
              <w:tabs>
                <w:tab w:val="left" w:pos="540"/>
                <w:tab w:val="left" w:pos="1080"/>
                <w:tab w:val="left" w:pos="1440"/>
              </w:tabs>
              <w:spacing w:line="240" w:lineRule="auto"/>
              <w:jc w:val="left"/>
              <w:rPr>
                <w:rFonts w:ascii="Tahoma" w:hAnsi="Tahoma" w:cs="Tahoma"/>
                <w:color w:val="000000" w:themeColor="text1"/>
              </w:rPr>
            </w:pPr>
            <w:r w:rsidRPr="2632A529">
              <w:rPr>
                <w:rFonts w:ascii="Tahoma" w:hAnsi="Tahoma" w:cs="Tahoma"/>
                <w:color w:val="000000" w:themeColor="text1"/>
              </w:rPr>
              <w:t>Simpson Buglass, Director OH Board (SB)</w:t>
            </w:r>
          </w:p>
          <w:p w14:paraId="3B891361" w14:textId="485380BA" w:rsidR="00086EB4" w:rsidRPr="00864CC0" w:rsidRDefault="0CBCDE25" w:rsidP="003607CF">
            <w:pPr>
              <w:tabs>
                <w:tab w:val="left" w:pos="540"/>
                <w:tab w:val="left" w:pos="1080"/>
                <w:tab w:val="left" w:pos="1440"/>
              </w:tabs>
              <w:spacing w:line="240" w:lineRule="auto"/>
              <w:jc w:val="left"/>
              <w:rPr>
                <w:rFonts w:ascii="Tahoma" w:hAnsi="Tahoma" w:cs="Tahoma"/>
                <w:color w:val="000000" w:themeColor="text1"/>
              </w:rPr>
            </w:pPr>
            <w:r w:rsidRPr="2632A529">
              <w:rPr>
                <w:rFonts w:ascii="Tahoma" w:hAnsi="Tahoma" w:cs="Tahoma"/>
                <w:color w:val="000000" w:themeColor="text1"/>
              </w:rPr>
              <w:t>Mike McClafferty, Director OH Board (</w:t>
            </w:r>
            <w:proofErr w:type="spellStart"/>
            <w:r w:rsidRPr="2632A529">
              <w:rPr>
                <w:rFonts w:ascii="Tahoma" w:hAnsi="Tahoma" w:cs="Tahoma"/>
                <w:color w:val="000000" w:themeColor="text1"/>
              </w:rPr>
              <w:t>MMcC</w:t>
            </w:r>
            <w:proofErr w:type="spellEnd"/>
            <w:r w:rsidRPr="2632A529">
              <w:rPr>
                <w:rFonts w:ascii="Tahoma" w:hAnsi="Tahoma" w:cs="Tahoma"/>
                <w:color w:val="000000" w:themeColor="text1"/>
              </w:rPr>
              <w:t>)</w:t>
            </w:r>
            <w:r w:rsidR="002339C5">
              <w:rPr>
                <w:rFonts w:ascii="Tahoma" w:hAnsi="Tahoma" w:cs="Tahoma"/>
                <w:color w:val="000000" w:themeColor="text1"/>
              </w:rPr>
              <w:t xml:space="preserve"> (Zoom)</w:t>
            </w:r>
          </w:p>
          <w:p w14:paraId="37F3AF61" w14:textId="778198AA" w:rsidR="00086EB4" w:rsidRPr="00864CC0" w:rsidRDefault="328F2B1C" w:rsidP="003607CF">
            <w:pPr>
              <w:tabs>
                <w:tab w:val="left" w:pos="540"/>
                <w:tab w:val="left" w:pos="1080"/>
                <w:tab w:val="left" w:pos="1440"/>
              </w:tabs>
              <w:spacing w:line="240" w:lineRule="auto"/>
              <w:jc w:val="left"/>
              <w:rPr>
                <w:color w:val="000000"/>
              </w:rPr>
            </w:pPr>
            <w:r w:rsidRPr="07650249">
              <w:rPr>
                <w:color w:val="000000" w:themeColor="text1"/>
              </w:rPr>
              <w:t>Alison Mitchell, Director OH Board (AM)</w:t>
            </w:r>
          </w:p>
        </w:tc>
      </w:tr>
      <w:tr w:rsidR="07650249" w14:paraId="22CE4FA9" w14:textId="77777777" w:rsidTr="00C906BB">
        <w:tc>
          <w:tcPr>
            <w:tcW w:w="1668" w:type="dxa"/>
          </w:tcPr>
          <w:p w14:paraId="1E02A397" w14:textId="2A905A2D" w:rsidR="07650249" w:rsidRDefault="07650249" w:rsidP="003607CF">
            <w:pPr>
              <w:spacing w:line="240" w:lineRule="auto"/>
              <w:jc w:val="left"/>
              <w:rPr>
                <w:color w:val="000000" w:themeColor="text1"/>
              </w:rPr>
            </w:pPr>
          </w:p>
        </w:tc>
        <w:tc>
          <w:tcPr>
            <w:tcW w:w="7512" w:type="dxa"/>
          </w:tcPr>
          <w:p w14:paraId="698B6366" w14:textId="5E08C1F3" w:rsidR="328F2B1C" w:rsidRDefault="7A481E5D" w:rsidP="003607CF">
            <w:pPr>
              <w:spacing w:line="240" w:lineRule="auto"/>
              <w:jc w:val="left"/>
              <w:rPr>
                <w:color w:val="000000" w:themeColor="text1"/>
              </w:rPr>
            </w:pPr>
            <w:r w:rsidRPr="7A3C8C62">
              <w:rPr>
                <w:color w:val="000000" w:themeColor="text1"/>
              </w:rPr>
              <w:t>Claire Cr</w:t>
            </w:r>
            <w:r w:rsidR="75EE9F9F" w:rsidRPr="7A3C8C62">
              <w:rPr>
                <w:color w:val="000000" w:themeColor="text1"/>
              </w:rPr>
              <w:t>a</w:t>
            </w:r>
            <w:r w:rsidRPr="7A3C8C62">
              <w:rPr>
                <w:color w:val="000000" w:themeColor="text1"/>
              </w:rPr>
              <w:t xml:space="preserve">wford, Director OH Board (CC) </w:t>
            </w:r>
          </w:p>
        </w:tc>
      </w:tr>
      <w:tr w:rsidR="002339C5" w14:paraId="213F9811" w14:textId="77777777" w:rsidTr="00C906BB">
        <w:tc>
          <w:tcPr>
            <w:tcW w:w="1668" w:type="dxa"/>
          </w:tcPr>
          <w:p w14:paraId="1780DF0F" w14:textId="77777777" w:rsidR="002339C5" w:rsidRDefault="002339C5" w:rsidP="003607CF">
            <w:pPr>
              <w:spacing w:line="240" w:lineRule="auto"/>
              <w:jc w:val="left"/>
              <w:rPr>
                <w:color w:val="000000" w:themeColor="text1"/>
              </w:rPr>
            </w:pPr>
          </w:p>
        </w:tc>
        <w:tc>
          <w:tcPr>
            <w:tcW w:w="7512" w:type="dxa"/>
          </w:tcPr>
          <w:p w14:paraId="45F9F52D" w14:textId="569F786E" w:rsidR="002339C5" w:rsidRPr="7A3C8C62" w:rsidRDefault="002339C5" w:rsidP="003607CF">
            <w:pPr>
              <w:spacing w:line="240" w:lineRule="auto"/>
              <w:jc w:val="left"/>
              <w:rPr>
                <w:color w:val="000000" w:themeColor="text1"/>
              </w:rPr>
            </w:pPr>
            <w:r w:rsidRPr="00864CC0">
              <w:rPr>
                <w:rFonts w:ascii="Tahoma" w:hAnsi="Tahoma" w:cs="Tahoma"/>
                <w:color w:val="000000"/>
              </w:rPr>
              <w:t>Raymond Edgar, Director OH Board (RE)</w:t>
            </w:r>
          </w:p>
        </w:tc>
      </w:tr>
      <w:tr w:rsidR="002339C5" w14:paraId="37ECF922" w14:textId="77777777" w:rsidTr="00C906BB">
        <w:tc>
          <w:tcPr>
            <w:tcW w:w="1668" w:type="dxa"/>
          </w:tcPr>
          <w:p w14:paraId="6A452CB3" w14:textId="77777777" w:rsidR="002339C5" w:rsidRDefault="002339C5" w:rsidP="003607CF">
            <w:pPr>
              <w:spacing w:line="240" w:lineRule="auto"/>
              <w:jc w:val="left"/>
              <w:rPr>
                <w:color w:val="000000" w:themeColor="text1"/>
              </w:rPr>
            </w:pPr>
          </w:p>
        </w:tc>
        <w:tc>
          <w:tcPr>
            <w:tcW w:w="7512" w:type="dxa"/>
          </w:tcPr>
          <w:p w14:paraId="7AD0D0F3" w14:textId="224F38D3" w:rsidR="002339C5" w:rsidRPr="00864CC0" w:rsidRDefault="002339C5" w:rsidP="003607CF">
            <w:pPr>
              <w:spacing w:line="240" w:lineRule="auto"/>
              <w:jc w:val="left"/>
              <w:rPr>
                <w:rFonts w:ascii="Tahoma" w:hAnsi="Tahoma" w:cs="Tahoma"/>
                <w:color w:val="000000"/>
              </w:rPr>
            </w:pPr>
            <w:r w:rsidRPr="671871AA">
              <w:rPr>
                <w:color w:val="000000" w:themeColor="text1"/>
              </w:rPr>
              <w:t>Douglas Bodie, Director OH Board (DB)</w:t>
            </w:r>
          </w:p>
        </w:tc>
      </w:tr>
      <w:tr w:rsidR="002339C5" w:rsidRPr="00864CC0" w14:paraId="61A5F813" w14:textId="77777777" w:rsidTr="00C906BB">
        <w:tc>
          <w:tcPr>
            <w:tcW w:w="1668" w:type="dxa"/>
          </w:tcPr>
          <w:p w14:paraId="595F9854" w14:textId="038A7D15" w:rsidR="002339C5" w:rsidRPr="00864CC0" w:rsidRDefault="002339C5" w:rsidP="003607CF">
            <w:pPr>
              <w:tabs>
                <w:tab w:val="left" w:pos="540"/>
                <w:tab w:val="left" w:pos="1080"/>
                <w:tab w:val="left" w:pos="1440"/>
              </w:tabs>
              <w:spacing w:line="240" w:lineRule="auto"/>
              <w:jc w:val="left"/>
              <w:rPr>
                <w:rFonts w:ascii="Tahoma" w:hAnsi="Tahoma" w:cs="Tahoma"/>
                <w:color w:val="000000"/>
              </w:rPr>
            </w:pPr>
            <w:r w:rsidRPr="00864CC0">
              <w:rPr>
                <w:rFonts w:ascii="Tahoma" w:hAnsi="Tahoma" w:cs="Tahoma"/>
                <w:color w:val="000000"/>
              </w:rPr>
              <w:t>Apologies:</w:t>
            </w:r>
          </w:p>
        </w:tc>
        <w:tc>
          <w:tcPr>
            <w:tcW w:w="7512" w:type="dxa"/>
          </w:tcPr>
          <w:p w14:paraId="4363AB0D" w14:textId="11D0C411" w:rsidR="002339C5" w:rsidRPr="00864CC0" w:rsidRDefault="002339C5" w:rsidP="003607CF">
            <w:pPr>
              <w:tabs>
                <w:tab w:val="left" w:pos="540"/>
                <w:tab w:val="left" w:pos="1080"/>
                <w:tab w:val="left" w:pos="1440"/>
              </w:tabs>
              <w:spacing w:line="240" w:lineRule="auto"/>
              <w:jc w:val="left"/>
              <w:rPr>
                <w:rFonts w:ascii="Tahoma" w:hAnsi="Tahoma" w:cs="Tahoma"/>
                <w:color w:val="000000"/>
              </w:rPr>
            </w:pPr>
          </w:p>
        </w:tc>
      </w:tr>
      <w:tr w:rsidR="002339C5" w:rsidRPr="00864CC0" w14:paraId="473A8BEB" w14:textId="77777777" w:rsidTr="00C906BB">
        <w:tc>
          <w:tcPr>
            <w:tcW w:w="1668" w:type="dxa"/>
          </w:tcPr>
          <w:p w14:paraId="450E306C" w14:textId="77777777" w:rsidR="002339C5" w:rsidRPr="00864CC0" w:rsidRDefault="002339C5" w:rsidP="003607CF">
            <w:pPr>
              <w:tabs>
                <w:tab w:val="left" w:pos="540"/>
                <w:tab w:val="left" w:pos="1080"/>
                <w:tab w:val="left" w:pos="1440"/>
              </w:tabs>
              <w:spacing w:line="240" w:lineRule="auto"/>
              <w:jc w:val="left"/>
              <w:rPr>
                <w:rFonts w:ascii="Tahoma" w:hAnsi="Tahoma" w:cs="Tahoma"/>
                <w:color w:val="000000"/>
              </w:rPr>
            </w:pPr>
            <w:r w:rsidRPr="00864CC0">
              <w:rPr>
                <w:rFonts w:ascii="Tahoma" w:hAnsi="Tahoma" w:cs="Tahoma"/>
                <w:color w:val="000000"/>
              </w:rPr>
              <w:t>Attending:</w:t>
            </w:r>
          </w:p>
        </w:tc>
        <w:tc>
          <w:tcPr>
            <w:tcW w:w="7512" w:type="dxa"/>
          </w:tcPr>
          <w:p w14:paraId="4C648476" w14:textId="19259150" w:rsidR="002339C5" w:rsidRPr="00864CC0" w:rsidRDefault="002339C5" w:rsidP="003607CF">
            <w:pPr>
              <w:tabs>
                <w:tab w:val="left" w:pos="540"/>
                <w:tab w:val="left" w:pos="1080"/>
                <w:tab w:val="left" w:pos="1440"/>
              </w:tabs>
              <w:spacing w:line="240" w:lineRule="auto"/>
              <w:jc w:val="left"/>
              <w:rPr>
                <w:rFonts w:ascii="Tahoma" w:hAnsi="Tahoma" w:cs="Tahoma"/>
                <w:color w:val="000000"/>
              </w:rPr>
            </w:pPr>
            <w:r>
              <w:rPr>
                <w:rFonts w:ascii="Tahoma" w:hAnsi="Tahoma" w:cs="Tahoma"/>
                <w:color w:val="000000" w:themeColor="text1"/>
              </w:rPr>
              <w:t>Stacy Angus</w:t>
            </w:r>
            <w:r w:rsidRPr="7A3C8C62">
              <w:rPr>
                <w:rFonts w:ascii="Tahoma" w:hAnsi="Tahoma" w:cs="Tahoma"/>
                <w:color w:val="000000" w:themeColor="text1"/>
              </w:rPr>
              <w:t xml:space="preserve">, Chief Executive Osprey Group (CEO) </w:t>
            </w:r>
          </w:p>
        </w:tc>
      </w:tr>
      <w:tr w:rsidR="002339C5" w:rsidRPr="00864CC0" w14:paraId="262B7E8A" w14:textId="77777777" w:rsidTr="00C906BB">
        <w:tc>
          <w:tcPr>
            <w:tcW w:w="1668" w:type="dxa"/>
          </w:tcPr>
          <w:p w14:paraId="6250073A" w14:textId="77777777" w:rsidR="002339C5" w:rsidRPr="00864CC0" w:rsidRDefault="002339C5" w:rsidP="003607CF">
            <w:pPr>
              <w:tabs>
                <w:tab w:val="left" w:pos="540"/>
                <w:tab w:val="left" w:pos="1080"/>
                <w:tab w:val="left" w:pos="1440"/>
              </w:tabs>
              <w:spacing w:line="240" w:lineRule="auto"/>
              <w:jc w:val="left"/>
              <w:rPr>
                <w:rFonts w:ascii="Tahoma" w:hAnsi="Tahoma" w:cs="Tahoma"/>
                <w:color w:val="000000"/>
              </w:rPr>
            </w:pPr>
          </w:p>
        </w:tc>
        <w:tc>
          <w:tcPr>
            <w:tcW w:w="7512" w:type="dxa"/>
          </w:tcPr>
          <w:p w14:paraId="333227BE" w14:textId="6834A101" w:rsidR="002339C5" w:rsidRPr="00864CC0" w:rsidRDefault="002339C5" w:rsidP="003607CF">
            <w:pPr>
              <w:tabs>
                <w:tab w:val="left" w:pos="540"/>
                <w:tab w:val="left" w:pos="1080"/>
                <w:tab w:val="left" w:pos="1440"/>
              </w:tabs>
              <w:spacing w:line="240" w:lineRule="auto"/>
              <w:jc w:val="left"/>
              <w:rPr>
                <w:rFonts w:ascii="Tahoma" w:hAnsi="Tahoma" w:cs="Tahoma"/>
                <w:color w:val="000000"/>
              </w:rPr>
            </w:pPr>
            <w:r w:rsidRPr="7A3C8C62">
              <w:rPr>
                <w:rFonts w:ascii="Tahoma" w:hAnsi="Tahoma" w:cs="Tahoma"/>
                <w:color w:val="000000" w:themeColor="text1"/>
              </w:rPr>
              <w:t>Gary Walker, Director of Finance, Osprey Group (DF)</w:t>
            </w:r>
          </w:p>
        </w:tc>
      </w:tr>
      <w:tr w:rsidR="002339C5" w:rsidRPr="00864CC0" w14:paraId="1E89B8E1" w14:textId="77777777" w:rsidTr="00C906BB">
        <w:trPr>
          <w:trHeight w:val="289"/>
        </w:trPr>
        <w:tc>
          <w:tcPr>
            <w:tcW w:w="1668" w:type="dxa"/>
          </w:tcPr>
          <w:p w14:paraId="1E787297" w14:textId="77777777" w:rsidR="002339C5" w:rsidRPr="00864CC0" w:rsidRDefault="002339C5" w:rsidP="003607CF">
            <w:pPr>
              <w:tabs>
                <w:tab w:val="left" w:pos="540"/>
                <w:tab w:val="left" w:pos="1080"/>
                <w:tab w:val="left" w:pos="1440"/>
              </w:tabs>
              <w:spacing w:line="240" w:lineRule="auto"/>
              <w:jc w:val="left"/>
              <w:rPr>
                <w:rFonts w:ascii="Tahoma" w:hAnsi="Tahoma" w:cs="Tahoma"/>
                <w:color w:val="000000"/>
              </w:rPr>
            </w:pPr>
          </w:p>
        </w:tc>
        <w:tc>
          <w:tcPr>
            <w:tcW w:w="7512" w:type="dxa"/>
          </w:tcPr>
          <w:p w14:paraId="0DD0CE5F" w14:textId="5FD65148" w:rsidR="002339C5" w:rsidRPr="00C906BB" w:rsidRDefault="002339C5" w:rsidP="003607CF">
            <w:pPr>
              <w:tabs>
                <w:tab w:val="left" w:pos="540"/>
                <w:tab w:val="left" w:pos="1080"/>
                <w:tab w:val="left" w:pos="1440"/>
              </w:tabs>
              <w:spacing w:line="240" w:lineRule="auto"/>
              <w:jc w:val="left"/>
              <w:rPr>
                <w:rFonts w:ascii="Tahoma" w:hAnsi="Tahoma" w:cs="Tahoma"/>
                <w:color w:val="000000" w:themeColor="text1"/>
              </w:rPr>
            </w:pPr>
            <w:r w:rsidRPr="00C906BB">
              <w:rPr>
                <w:rFonts w:ascii="Tahoma" w:hAnsi="Tahoma" w:cs="Tahoma"/>
                <w:color w:val="000000" w:themeColor="text1"/>
              </w:rPr>
              <w:t>Dan Thompson, Director of Housing Services, Osprey Group (DHS)</w:t>
            </w:r>
          </w:p>
        </w:tc>
      </w:tr>
      <w:tr w:rsidR="00C906BB" w:rsidRPr="00864CC0" w14:paraId="4B59B068" w14:textId="77777777" w:rsidTr="00C906BB">
        <w:trPr>
          <w:trHeight w:val="289"/>
        </w:trPr>
        <w:tc>
          <w:tcPr>
            <w:tcW w:w="1668" w:type="dxa"/>
          </w:tcPr>
          <w:p w14:paraId="368CC3BC" w14:textId="77777777" w:rsidR="00C906BB" w:rsidRPr="00864CC0" w:rsidRDefault="00C906BB" w:rsidP="003607CF">
            <w:pPr>
              <w:tabs>
                <w:tab w:val="left" w:pos="540"/>
                <w:tab w:val="left" w:pos="1080"/>
                <w:tab w:val="left" w:pos="1440"/>
              </w:tabs>
              <w:spacing w:line="240" w:lineRule="auto"/>
              <w:jc w:val="left"/>
              <w:rPr>
                <w:rFonts w:ascii="Tahoma" w:hAnsi="Tahoma" w:cs="Tahoma"/>
                <w:color w:val="000000"/>
              </w:rPr>
            </w:pPr>
          </w:p>
        </w:tc>
        <w:tc>
          <w:tcPr>
            <w:tcW w:w="7512" w:type="dxa"/>
          </w:tcPr>
          <w:p w14:paraId="513DCFCC" w14:textId="46B54621" w:rsidR="00C906BB" w:rsidRDefault="00C906BB" w:rsidP="003607CF">
            <w:pPr>
              <w:tabs>
                <w:tab w:val="left" w:pos="540"/>
                <w:tab w:val="left" w:pos="1080"/>
                <w:tab w:val="left" w:pos="1440"/>
              </w:tabs>
              <w:spacing w:line="240" w:lineRule="auto"/>
              <w:jc w:val="left"/>
              <w:rPr>
                <w:rFonts w:ascii="Tahoma" w:hAnsi="Tahoma" w:cs="Tahoma"/>
                <w:color w:val="000000" w:themeColor="text1"/>
              </w:rPr>
            </w:pPr>
            <w:r>
              <w:rPr>
                <w:rFonts w:ascii="Tahoma" w:hAnsi="Tahoma" w:cs="Tahoma"/>
                <w:color w:val="000000" w:themeColor="text1"/>
              </w:rPr>
              <w:t>Clare Ruxton, Director of Corporate Services, Osprey Group (DCS)</w:t>
            </w:r>
          </w:p>
        </w:tc>
      </w:tr>
      <w:tr w:rsidR="002339C5" w:rsidRPr="00864CC0" w14:paraId="6BA483AC" w14:textId="77777777" w:rsidTr="00C906BB">
        <w:tc>
          <w:tcPr>
            <w:tcW w:w="1668" w:type="dxa"/>
          </w:tcPr>
          <w:p w14:paraId="24864337" w14:textId="77777777" w:rsidR="002339C5" w:rsidRPr="00864CC0" w:rsidRDefault="002339C5" w:rsidP="003607CF">
            <w:pPr>
              <w:tabs>
                <w:tab w:val="left" w:pos="540"/>
                <w:tab w:val="left" w:pos="1080"/>
                <w:tab w:val="left" w:pos="1440"/>
              </w:tabs>
              <w:spacing w:line="240" w:lineRule="auto"/>
              <w:jc w:val="left"/>
              <w:rPr>
                <w:rFonts w:ascii="Tahoma" w:hAnsi="Tahoma" w:cs="Tahoma"/>
                <w:color w:val="000000"/>
              </w:rPr>
            </w:pPr>
          </w:p>
        </w:tc>
        <w:tc>
          <w:tcPr>
            <w:tcW w:w="7512" w:type="dxa"/>
          </w:tcPr>
          <w:p w14:paraId="5BE7EE0E" w14:textId="1CA65136" w:rsidR="002339C5" w:rsidRPr="00C906BB" w:rsidRDefault="002339C5" w:rsidP="003607CF">
            <w:pPr>
              <w:tabs>
                <w:tab w:val="left" w:pos="540"/>
                <w:tab w:val="left" w:pos="1080"/>
                <w:tab w:val="left" w:pos="1440"/>
              </w:tabs>
              <w:spacing w:line="240" w:lineRule="auto"/>
              <w:jc w:val="left"/>
              <w:rPr>
                <w:rFonts w:ascii="Tahoma" w:hAnsi="Tahoma" w:cs="Tahoma"/>
                <w:color w:val="000000" w:themeColor="text1"/>
              </w:rPr>
            </w:pPr>
            <w:r w:rsidRPr="7A3C8C62">
              <w:rPr>
                <w:rFonts w:ascii="Tahoma" w:hAnsi="Tahoma" w:cs="Tahoma"/>
                <w:color w:val="000000" w:themeColor="text1"/>
              </w:rPr>
              <w:t>Hugh Crothers, Director of Assets</w:t>
            </w:r>
            <w:r w:rsidR="008107F3">
              <w:rPr>
                <w:rFonts w:ascii="Tahoma" w:hAnsi="Tahoma" w:cs="Tahoma"/>
                <w:color w:val="000000" w:themeColor="text1"/>
              </w:rPr>
              <w:t xml:space="preserve"> and Sustainability</w:t>
            </w:r>
            <w:r w:rsidRPr="7A3C8C62">
              <w:rPr>
                <w:rFonts w:ascii="Tahoma" w:hAnsi="Tahoma" w:cs="Tahoma"/>
                <w:color w:val="000000" w:themeColor="text1"/>
              </w:rPr>
              <w:t xml:space="preserve"> Osprey Group (DA</w:t>
            </w:r>
            <w:r w:rsidR="008107F3">
              <w:rPr>
                <w:rFonts w:ascii="Tahoma" w:hAnsi="Tahoma" w:cs="Tahoma"/>
                <w:color w:val="000000" w:themeColor="text1"/>
              </w:rPr>
              <w:t>S</w:t>
            </w:r>
            <w:r w:rsidRPr="7A3C8C62">
              <w:rPr>
                <w:rFonts w:ascii="Tahoma" w:hAnsi="Tahoma" w:cs="Tahoma"/>
                <w:color w:val="000000" w:themeColor="text1"/>
              </w:rPr>
              <w:t>)</w:t>
            </w:r>
          </w:p>
        </w:tc>
      </w:tr>
      <w:tr w:rsidR="002339C5" w:rsidRPr="00864CC0" w14:paraId="1322287E" w14:textId="77777777" w:rsidTr="00C906BB">
        <w:tc>
          <w:tcPr>
            <w:tcW w:w="1668" w:type="dxa"/>
          </w:tcPr>
          <w:p w14:paraId="215C4F9A" w14:textId="77777777" w:rsidR="002339C5" w:rsidRPr="00864CC0" w:rsidRDefault="002339C5" w:rsidP="003607CF">
            <w:pPr>
              <w:tabs>
                <w:tab w:val="left" w:pos="540"/>
                <w:tab w:val="left" w:pos="1080"/>
                <w:tab w:val="left" w:pos="1440"/>
              </w:tabs>
              <w:spacing w:line="240" w:lineRule="auto"/>
              <w:jc w:val="left"/>
              <w:rPr>
                <w:rFonts w:ascii="Tahoma" w:hAnsi="Tahoma" w:cs="Tahoma"/>
                <w:color w:val="000000"/>
              </w:rPr>
            </w:pPr>
          </w:p>
        </w:tc>
        <w:tc>
          <w:tcPr>
            <w:tcW w:w="7512" w:type="dxa"/>
          </w:tcPr>
          <w:p w14:paraId="6D6692FF" w14:textId="7FC65B70" w:rsidR="002339C5" w:rsidRPr="00864CC0" w:rsidRDefault="002339C5" w:rsidP="003607CF">
            <w:pPr>
              <w:tabs>
                <w:tab w:val="left" w:pos="540"/>
                <w:tab w:val="left" w:pos="1080"/>
                <w:tab w:val="left" w:pos="1440"/>
              </w:tabs>
              <w:spacing w:line="240" w:lineRule="auto"/>
              <w:jc w:val="left"/>
              <w:rPr>
                <w:rFonts w:ascii="Tahoma" w:hAnsi="Tahoma" w:cs="Tahoma"/>
                <w:color w:val="000000"/>
              </w:rPr>
            </w:pPr>
            <w:r w:rsidRPr="7A3C8C62">
              <w:rPr>
                <w:rFonts w:ascii="Tahoma" w:hAnsi="Tahoma" w:cs="Tahoma"/>
                <w:color w:val="000000" w:themeColor="text1"/>
              </w:rPr>
              <w:t>Sofia Redford, Corporate Services Officer Osprey Group (CSO) (Minute)</w:t>
            </w:r>
          </w:p>
        </w:tc>
      </w:tr>
      <w:tr w:rsidR="002339C5" w:rsidRPr="00864CC0" w14:paraId="5F3B624E" w14:textId="77777777" w:rsidTr="00C906BB">
        <w:tc>
          <w:tcPr>
            <w:tcW w:w="1668" w:type="dxa"/>
          </w:tcPr>
          <w:p w14:paraId="50161F08" w14:textId="77777777" w:rsidR="002339C5" w:rsidRPr="00864CC0" w:rsidRDefault="002339C5" w:rsidP="003607CF">
            <w:pPr>
              <w:tabs>
                <w:tab w:val="left" w:pos="540"/>
                <w:tab w:val="left" w:pos="1080"/>
                <w:tab w:val="left" w:pos="1440"/>
              </w:tabs>
              <w:spacing w:line="240" w:lineRule="auto"/>
              <w:jc w:val="left"/>
              <w:rPr>
                <w:rFonts w:ascii="Tahoma" w:hAnsi="Tahoma" w:cs="Tahoma"/>
                <w:color w:val="000000"/>
              </w:rPr>
            </w:pPr>
          </w:p>
        </w:tc>
        <w:tc>
          <w:tcPr>
            <w:tcW w:w="7512" w:type="dxa"/>
          </w:tcPr>
          <w:p w14:paraId="7BB1634C" w14:textId="31324C28" w:rsidR="002339C5" w:rsidRPr="00864CC0" w:rsidRDefault="00C20CE1" w:rsidP="003607CF">
            <w:pPr>
              <w:tabs>
                <w:tab w:val="left" w:pos="540"/>
                <w:tab w:val="left" w:pos="1080"/>
                <w:tab w:val="left" w:pos="1440"/>
              </w:tabs>
              <w:spacing w:line="240" w:lineRule="auto"/>
              <w:jc w:val="left"/>
              <w:rPr>
                <w:rFonts w:ascii="Tahoma" w:hAnsi="Tahoma" w:cs="Tahoma"/>
                <w:color w:val="000000"/>
              </w:rPr>
            </w:pPr>
            <w:r>
              <w:rPr>
                <w:rFonts w:ascii="Tahoma" w:hAnsi="Tahoma" w:cs="Tahoma"/>
                <w:color w:val="000000"/>
              </w:rPr>
              <w:t xml:space="preserve">Gillian Houston, </w:t>
            </w:r>
            <w:proofErr w:type="spellStart"/>
            <w:r>
              <w:rPr>
                <w:rFonts w:ascii="Tahoma" w:hAnsi="Tahoma" w:cs="Tahoma"/>
                <w:color w:val="000000"/>
              </w:rPr>
              <w:t>Arneil</w:t>
            </w:r>
            <w:proofErr w:type="spellEnd"/>
            <w:r>
              <w:rPr>
                <w:rFonts w:ascii="Tahoma" w:hAnsi="Tahoma" w:cs="Tahoma"/>
                <w:color w:val="000000"/>
              </w:rPr>
              <w:t xml:space="preserve"> Johnston, external consultant</w:t>
            </w:r>
            <w:r w:rsidR="008107F3">
              <w:rPr>
                <w:rFonts w:ascii="Tahoma" w:hAnsi="Tahoma" w:cs="Tahoma"/>
                <w:color w:val="000000"/>
              </w:rPr>
              <w:t xml:space="preserve"> (GH) (Zoom)</w:t>
            </w:r>
          </w:p>
        </w:tc>
      </w:tr>
    </w:tbl>
    <w:p w14:paraId="207813F6" w14:textId="77777777" w:rsidR="00A17A20" w:rsidRPr="00864CC0" w:rsidRDefault="00A17A20" w:rsidP="003607CF">
      <w:pPr>
        <w:jc w:val="left"/>
      </w:pPr>
    </w:p>
    <w:tbl>
      <w:tblPr>
        <w:tblpPr w:leftFromText="180" w:rightFromText="180" w:vertAnchor="text" w:tblpY="1"/>
        <w:tblOverlap w:val="neve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6606"/>
        <w:gridCol w:w="1331"/>
      </w:tblGrid>
      <w:tr w:rsidR="00A17A20" w:rsidRPr="00864CC0" w14:paraId="08409E32" w14:textId="77777777" w:rsidTr="5522084D">
        <w:trPr>
          <w:trHeight w:val="247"/>
          <w:tblHeader/>
        </w:trPr>
        <w:tc>
          <w:tcPr>
            <w:tcW w:w="1306" w:type="dxa"/>
            <w:tcBorders>
              <w:bottom w:val="single" w:sz="4" w:space="0" w:color="auto"/>
            </w:tcBorders>
            <w:shd w:val="clear" w:color="auto" w:fill="F2F2F2" w:themeFill="background1" w:themeFillShade="F2"/>
          </w:tcPr>
          <w:p w14:paraId="39A281F5" w14:textId="77777777" w:rsidR="00A17A20" w:rsidRPr="00864CC0" w:rsidRDefault="00A17A20" w:rsidP="003607CF">
            <w:pPr>
              <w:tabs>
                <w:tab w:val="left" w:pos="567"/>
              </w:tabs>
              <w:spacing w:line="240" w:lineRule="auto"/>
              <w:jc w:val="left"/>
              <w:rPr>
                <w:rFonts w:ascii="Tahoma" w:hAnsi="Tahoma" w:cs="Tahoma"/>
                <w:b/>
                <w:color w:val="000000"/>
              </w:rPr>
            </w:pPr>
            <w:r w:rsidRPr="00864CC0">
              <w:rPr>
                <w:rFonts w:ascii="Tahoma" w:hAnsi="Tahoma" w:cs="Tahoma"/>
                <w:b/>
                <w:color w:val="000000"/>
              </w:rPr>
              <w:lastRenderedPageBreak/>
              <w:t>Minute No</w:t>
            </w:r>
          </w:p>
        </w:tc>
        <w:tc>
          <w:tcPr>
            <w:tcW w:w="6606" w:type="dxa"/>
            <w:tcBorders>
              <w:bottom w:val="single" w:sz="4" w:space="0" w:color="auto"/>
            </w:tcBorders>
            <w:shd w:val="clear" w:color="auto" w:fill="F2F2F2" w:themeFill="background1" w:themeFillShade="F2"/>
            <w:vAlign w:val="center"/>
          </w:tcPr>
          <w:p w14:paraId="2A6079AF" w14:textId="77777777" w:rsidR="00A17A20" w:rsidRPr="00864CC0" w:rsidRDefault="00A17A20" w:rsidP="003607CF">
            <w:pPr>
              <w:tabs>
                <w:tab w:val="left" w:pos="567"/>
              </w:tabs>
              <w:spacing w:line="240" w:lineRule="auto"/>
              <w:jc w:val="left"/>
              <w:rPr>
                <w:rFonts w:ascii="Tahoma" w:hAnsi="Tahoma" w:cs="Tahoma"/>
                <w:b/>
                <w:color w:val="000000"/>
              </w:rPr>
            </w:pPr>
            <w:r w:rsidRPr="00864CC0">
              <w:rPr>
                <w:rFonts w:ascii="Tahoma" w:hAnsi="Tahoma" w:cs="Tahoma"/>
                <w:b/>
                <w:color w:val="000000"/>
              </w:rPr>
              <w:t>Subject</w:t>
            </w:r>
          </w:p>
        </w:tc>
        <w:tc>
          <w:tcPr>
            <w:tcW w:w="1331" w:type="dxa"/>
            <w:tcBorders>
              <w:bottom w:val="single" w:sz="4" w:space="0" w:color="auto"/>
            </w:tcBorders>
            <w:shd w:val="clear" w:color="auto" w:fill="F2F2F2" w:themeFill="background1" w:themeFillShade="F2"/>
            <w:vAlign w:val="center"/>
          </w:tcPr>
          <w:p w14:paraId="5228F4B5" w14:textId="77777777" w:rsidR="00A17A20" w:rsidRPr="00864CC0" w:rsidRDefault="00A17A20" w:rsidP="003607CF">
            <w:pPr>
              <w:tabs>
                <w:tab w:val="left" w:pos="567"/>
              </w:tabs>
              <w:spacing w:line="240" w:lineRule="auto"/>
              <w:jc w:val="left"/>
              <w:rPr>
                <w:rFonts w:ascii="Tahoma" w:hAnsi="Tahoma" w:cs="Tahoma"/>
                <w:b/>
                <w:color w:val="000000"/>
              </w:rPr>
            </w:pPr>
            <w:r w:rsidRPr="00864CC0">
              <w:rPr>
                <w:rFonts w:ascii="Tahoma" w:hAnsi="Tahoma" w:cs="Tahoma"/>
                <w:b/>
                <w:color w:val="000000"/>
              </w:rPr>
              <w:t>Action</w:t>
            </w:r>
          </w:p>
        </w:tc>
      </w:tr>
      <w:tr w:rsidR="00EF636F" w:rsidRPr="00864CC0" w14:paraId="5083DABE" w14:textId="77777777" w:rsidTr="5522084D">
        <w:trPr>
          <w:trHeight w:val="247"/>
          <w:tblHeader/>
        </w:trPr>
        <w:tc>
          <w:tcPr>
            <w:tcW w:w="1306" w:type="dxa"/>
            <w:tcBorders>
              <w:bottom w:val="single" w:sz="4" w:space="0" w:color="auto"/>
            </w:tcBorders>
            <w:shd w:val="clear" w:color="auto" w:fill="auto"/>
          </w:tcPr>
          <w:p w14:paraId="3201A0DB" w14:textId="77777777" w:rsidR="00EF636F" w:rsidRPr="00864CC0" w:rsidRDefault="00EF636F" w:rsidP="003607CF">
            <w:pPr>
              <w:tabs>
                <w:tab w:val="left" w:pos="567"/>
              </w:tabs>
              <w:spacing w:line="240" w:lineRule="auto"/>
              <w:jc w:val="left"/>
              <w:rPr>
                <w:rFonts w:ascii="Tahoma" w:hAnsi="Tahoma" w:cs="Tahoma"/>
                <w:b/>
                <w:color w:val="000000"/>
              </w:rPr>
            </w:pPr>
            <w:r w:rsidRPr="00864CC0">
              <w:rPr>
                <w:rFonts w:ascii="Tahoma" w:hAnsi="Tahoma" w:cs="Tahoma"/>
                <w:b/>
                <w:color w:val="000000"/>
              </w:rPr>
              <w:t>1</w:t>
            </w:r>
          </w:p>
        </w:tc>
        <w:tc>
          <w:tcPr>
            <w:tcW w:w="6606" w:type="dxa"/>
            <w:tcBorders>
              <w:bottom w:val="single" w:sz="4" w:space="0" w:color="auto"/>
            </w:tcBorders>
            <w:shd w:val="clear" w:color="auto" w:fill="auto"/>
            <w:vAlign w:val="center"/>
          </w:tcPr>
          <w:p w14:paraId="6FF0ADD3" w14:textId="40A0ECA9" w:rsidR="002C727A" w:rsidRPr="00595BAB" w:rsidRDefault="7665CC78" w:rsidP="003607CF">
            <w:pPr>
              <w:tabs>
                <w:tab w:val="left" w:pos="567"/>
              </w:tabs>
              <w:spacing w:line="240" w:lineRule="auto"/>
              <w:jc w:val="left"/>
              <w:rPr>
                <w:rFonts w:ascii="Tahoma" w:hAnsi="Tahoma" w:cs="Tahoma"/>
                <w:b/>
                <w:bCs/>
                <w:color w:val="000000" w:themeColor="text1"/>
              </w:rPr>
            </w:pPr>
            <w:r w:rsidRPr="7A3C8C62">
              <w:rPr>
                <w:rFonts w:ascii="Tahoma" w:hAnsi="Tahoma" w:cs="Tahoma"/>
                <w:b/>
                <w:bCs/>
                <w:color w:val="000000" w:themeColor="text1"/>
              </w:rPr>
              <w:t>Welcome</w:t>
            </w:r>
            <w:r w:rsidR="77FF5473" w:rsidRPr="7A3C8C62">
              <w:rPr>
                <w:rFonts w:ascii="Tahoma" w:hAnsi="Tahoma" w:cs="Tahoma"/>
                <w:b/>
                <w:bCs/>
                <w:color w:val="000000" w:themeColor="text1"/>
              </w:rPr>
              <w:t xml:space="preserve"> and Apologies</w:t>
            </w:r>
          </w:p>
          <w:p w14:paraId="38AFA029" w14:textId="49211E4B" w:rsidR="002C727A" w:rsidRPr="00595BAB" w:rsidRDefault="002C727A" w:rsidP="003607CF">
            <w:pPr>
              <w:tabs>
                <w:tab w:val="left" w:pos="567"/>
              </w:tabs>
              <w:spacing w:line="240" w:lineRule="auto"/>
              <w:jc w:val="left"/>
              <w:rPr>
                <w:b/>
                <w:bCs/>
                <w:color w:val="000000" w:themeColor="text1"/>
              </w:rPr>
            </w:pPr>
          </w:p>
          <w:p w14:paraId="0384D059" w14:textId="05E97C3E" w:rsidR="002C727A" w:rsidRPr="00595BAB" w:rsidRDefault="00C906BB" w:rsidP="003607CF">
            <w:pPr>
              <w:tabs>
                <w:tab w:val="left" w:pos="567"/>
              </w:tabs>
              <w:spacing w:line="240" w:lineRule="auto"/>
              <w:jc w:val="left"/>
              <w:rPr>
                <w:b/>
                <w:bCs/>
                <w:color w:val="000000"/>
              </w:rPr>
            </w:pPr>
            <w:r>
              <w:rPr>
                <w:rFonts w:ascii="Tahoma" w:hAnsi="Tahoma" w:cs="Tahoma"/>
                <w:b/>
                <w:bCs/>
                <w:color w:val="000000" w:themeColor="text1"/>
              </w:rPr>
              <w:t>There were no apologies.</w:t>
            </w:r>
          </w:p>
        </w:tc>
        <w:tc>
          <w:tcPr>
            <w:tcW w:w="1331" w:type="dxa"/>
            <w:tcBorders>
              <w:bottom w:val="single" w:sz="4" w:space="0" w:color="auto"/>
            </w:tcBorders>
            <w:shd w:val="clear" w:color="auto" w:fill="auto"/>
            <w:vAlign w:val="center"/>
          </w:tcPr>
          <w:p w14:paraId="19399132" w14:textId="460525D1" w:rsidR="00FB3E43" w:rsidRPr="00864CC0" w:rsidRDefault="6B67E610" w:rsidP="003607CF">
            <w:pPr>
              <w:tabs>
                <w:tab w:val="left" w:pos="567"/>
              </w:tabs>
              <w:spacing w:line="240" w:lineRule="auto"/>
              <w:jc w:val="left"/>
              <w:rPr>
                <w:rFonts w:ascii="Tahoma" w:hAnsi="Tahoma" w:cs="Tahoma"/>
                <w:b/>
                <w:bCs/>
                <w:color w:val="000000"/>
              </w:rPr>
            </w:pPr>
            <w:r w:rsidRPr="7A3C8C62">
              <w:rPr>
                <w:rFonts w:ascii="Tahoma" w:hAnsi="Tahoma" w:cs="Tahoma"/>
                <w:b/>
                <w:bCs/>
                <w:color w:val="000000" w:themeColor="text1"/>
              </w:rPr>
              <w:t>Chair</w:t>
            </w:r>
          </w:p>
        </w:tc>
      </w:tr>
      <w:tr w:rsidR="7A3C8C62" w14:paraId="4C42B337" w14:textId="77777777" w:rsidTr="5522084D">
        <w:trPr>
          <w:trHeight w:val="247"/>
          <w:tblHeader/>
        </w:trPr>
        <w:tc>
          <w:tcPr>
            <w:tcW w:w="1306" w:type="dxa"/>
            <w:tcBorders>
              <w:bottom w:val="single" w:sz="4" w:space="0" w:color="auto"/>
            </w:tcBorders>
            <w:shd w:val="clear" w:color="auto" w:fill="auto"/>
          </w:tcPr>
          <w:p w14:paraId="5FCAAE90" w14:textId="26FFE9D4" w:rsidR="77FF5473" w:rsidRDefault="77FF5473" w:rsidP="003607CF">
            <w:pPr>
              <w:spacing w:line="240" w:lineRule="auto"/>
              <w:jc w:val="left"/>
              <w:rPr>
                <w:rFonts w:ascii="Tahoma" w:eastAsia="Tahoma" w:hAnsi="Tahoma" w:cs="Tahoma"/>
                <w:b/>
                <w:bCs/>
                <w:color w:val="000000" w:themeColor="text1"/>
              </w:rPr>
            </w:pPr>
            <w:r w:rsidRPr="7A3C8C62">
              <w:rPr>
                <w:rFonts w:ascii="Tahoma" w:eastAsia="Tahoma" w:hAnsi="Tahoma" w:cs="Tahoma"/>
                <w:b/>
                <w:bCs/>
                <w:color w:val="000000" w:themeColor="text1"/>
              </w:rPr>
              <w:t>2</w:t>
            </w:r>
          </w:p>
        </w:tc>
        <w:tc>
          <w:tcPr>
            <w:tcW w:w="6606" w:type="dxa"/>
            <w:tcBorders>
              <w:bottom w:val="single" w:sz="4" w:space="0" w:color="auto"/>
            </w:tcBorders>
            <w:shd w:val="clear" w:color="auto" w:fill="auto"/>
            <w:vAlign w:val="center"/>
          </w:tcPr>
          <w:p w14:paraId="09C514BB" w14:textId="7A9F5601" w:rsidR="77FF5473" w:rsidRDefault="77FF5473" w:rsidP="003607CF">
            <w:pPr>
              <w:spacing w:line="240" w:lineRule="auto"/>
              <w:jc w:val="left"/>
              <w:rPr>
                <w:rFonts w:ascii="Tahoma" w:eastAsia="Tahoma" w:hAnsi="Tahoma" w:cs="Tahoma"/>
                <w:b/>
                <w:bCs/>
                <w:color w:val="000000" w:themeColor="text1"/>
              </w:rPr>
            </w:pPr>
            <w:r w:rsidRPr="7A3C8C62">
              <w:rPr>
                <w:rFonts w:ascii="Tahoma" w:eastAsia="Tahoma" w:hAnsi="Tahoma" w:cs="Tahoma"/>
                <w:b/>
                <w:bCs/>
                <w:color w:val="000000" w:themeColor="text1"/>
              </w:rPr>
              <w:t>Dec</w:t>
            </w:r>
            <w:r w:rsidR="3E3F2CB9" w:rsidRPr="7A3C8C62">
              <w:rPr>
                <w:rFonts w:ascii="Tahoma" w:eastAsia="Tahoma" w:hAnsi="Tahoma" w:cs="Tahoma"/>
                <w:b/>
                <w:bCs/>
                <w:color w:val="000000" w:themeColor="text1"/>
              </w:rPr>
              <w:t>larations of Interest</w:t>
            </w:r>
          </w:p>
          <w:p w14:paraId="17D70C39" w14:textId="394D0A60" w:rsidR="7A3C8C62" w:rsidRDefault="7A3C8C62" w:rsidP="003607CF">
            <w:pPr>
              <w:spacing w:line="240" w:lineRule="auto"/>
              <w:jc w:val="left"/>
              <w:rPr>
                <w:rFonts w:ascii="Tahoma" w:eastAsia="Tahoma" w:hAnsi="Tahoma" w:cs="Tahoma"/>
                <w:b/>
                <w:bCs/>
                <w:color w:val="000000" w:themeColor="text1"/>
              </w:rPr>
            </w:pPr>
          </w:p>
          <w:p w14:paraId="0DB259FA" w14:textId="3B12F5B6" w:rsidR="3E3F2CB9" w:rsidRDefault="3E3F2CB9" w:rsidP="003607CF">
            <w:pPr>
              <w:spacing w:line="240" w:lineRule="auto"/>
              <w:jc w:val="left"/>
              <w:rPr>
                <w:rFonts w:ascii="Tahoma" w:eastAsia="Tahoma" w:hAnsi="Tahoma" w:cs="Tahoma"/>
                <w:color w:val="000000" w:themeColor="text1"/>
              </w:rPr>
            </w:pPr>
            <w:r w:rsidRPr="7A3C8C62">
              <w:rPr>
                <w:rFonts w:ascii="Tahoma" w:eastAsia="Tahoma" w:hAnsi="Tahoma" w:cs="Tahoma"/>
                <w:color w:val="000000" w:themeColor="text1"/>
              </w:rPr>
              <w:t>There were no changes to the standard Declarations</w:t>
            </w:r>
          </w:p>
        </w:tc>
        <w:tc>
          <w:tcPr>
            <w:tcW w:w="1331" w:type="dxa"/>
            <w:tcBorders>
              <w:bottom w:val="single" w:sz="4" w:space="0" w:color="auto"/>
            </w:tcBorders>
            <w:shd w:val="clear" w:color="auto" w:fill="auto"/>
            <w:vAlign w:val="center"/>
          </w:tcPr>
          <w:p w14:paraId="239D95D3" w14:textId="0C514EC8" w:rsidR="63E71D2B" w:rsidRDefault="63E71D2B" w:rsidP="003607CF">
            <w:pPr>
              <w:spacing w:line="240" w:lineRule="auto"/>
              <w:jc w:val="left"/>
              <w:rPr>
                <w:rFonts w:ascii="Tahoma" w:eastAsia="Tahoma" w:hAnsi="Tahoma" w:cs="Tahoma"/>
                <w:b/>
                <w:bCs/>
                <w:color w:val="000000" w:themeColor="text1"/>
              </w:rPr>
            </w:pPr>
            <w:r w:rsidRPr="7A3C8C62">
              <w:rPr>
                <w:rFonts w:ascii="Tahoma" w:eastAsia="Tahoma" w:hAnsi="Tahoma" w:cs="Tahoma"/>
                <w:b/>
                <w:bCs/>
                <w:color w:val="000000" w:themeColor="text1"/>
              </w:rPr>
              <w:t>Chair</w:t>
            </w:r>
          </w:p>
        </w:tc>
      </w:tr>
      <w:tr w:rsidR="7A3C8C62" w14:paraId="0972FF1E" w14:textId="77777777" w:rsidTr="5522084D">
        <w:trPr>
          <w:trHeight w:val="247"/>
          <w:tblHeader/>
        </w:trPr>
        <w:tc>
          <w:tcPr>
            <w:tcW w:w="1306" w:type="dxa"/>
            <w:tcBorders>
              <w:bottom w:val="single" w:sz="4" w:space="0" w:color="auto"/>
            </w:tcBorders>
            <w:shd w:val="clear" w:color="auto" w:fill="auto"/>
          </w:tcPr>
          <w:p w14:paraId="77E2A7A1" w14:textId="77777777" w:rsidR="51BAF567" w:rsidRDefault="51BAF567" w:rsidP="003607CF">
            <w:pPr>
              <w:spacing w:line="240" w:lineRule="auto"/>
              <w:jc w:val="left"/>
              <w:rPr>
                <w:rFonts w:ascii="Tahoma" w:eastAsia="Tahoma" w:hAnsi="Tahoma" w:cs="Tahoma"/>
                <w:b/>
                <w:bCs/>
                <w:color w:val="000000" w:themeColor="text1"/>
              </w:rPr>
            </w:pPr>
            <w:r w:rsidRPr="7A3C8C62">
              <w:rPr>
                <w:rFonts w:ascii="Tahoma" w:eastAsia="Tahoma" w:hAnsi="Tahoma" w:cs="Tahoma"/>
                <w:b/>
                <w:bCs/>
                <w:color w:val="000000" w:themeColor="text1"/>
              </w:rPr>
              <w:t>3</w:t>
            </w:r>
          </w:p>
          <w:p w14:paraId="0A4ACF8D" w14:textId="77777777" w:rsidR="00BA6E76" w:rsidRDefault="00BA6E76" w:rsidP="003607CF">
            <w:pPr>
              <w:spacing w:line="240" w:lineRule="auto"/>
              <w:jc w:val="left"/>
              <w:rPr>
                <w:rFonts w:ascii="Tahoma" w:eastAsia="Tahoma" w:hAnsi="Tahoma" w:cs="Tahoma"/>
                <w:b/>
                <w:bCs/>
                <w:color w:val="000000" w:themeColor="text1"/>
              </w:rPr>
            </w:pPr>
          </w:p>
          <w:p w14:paraId="4C81AB86" w14:textId="35A0ECE2" w:rsidR="00BA6E76" w:rsidRDefault="00BA6E76" w:rsidP="003607CF">
            <w:pPr>
              <w:spacing w:line="240" w:lineRule="auto"/>
              <w:jc w:val="left"/>
              <w:rPr>
                <w:rFonts w:ascii="Tahoma" w:eastAsia="Tahoma" w:hAnsi="Tahoma" w:cs="Tahoma"/>
                <w:b/>
                <w:bCs/>
                <w:color w:val="000000" w:themeColor="text1"/>
              </w:rPr>
            </w:pPr>
            <w:r>
              <w:rPr>
                <w:rFonts w:ascii="Tahoma" w:eastAsia="Tahoma" w:hAnsi="Tahoma" w:cs="Tahoma"/>
                <w:b/>
                <w:bCs/>
                <w:color w:val="000000" w:themeColor="text1"/>
              </w:rPr>
              <w:t>3.1</w:t>
            </w:r>
          </w:p>
        </w:tc>
        <w:tc>
          <w:tcPr>
            <w:tcW w:w="6606" w:type="dxa"/>
            <w:tcBorders>
              <w:bottom w:val="single" w:sz="4" w:space="0" w:color="auto"/>
            </w:tcBorders>
            <w:shd w:val="clear" w:color="auto" w:fill="auto"/>
            <w:vAlign w:val="center"/>
          </w:tcPr>
          <w:p w14:paraId="442AB7C8" w14:textId="77777777" w:rsidR="0CA2D006" w:rsidRDefault="00BA6E76" w:rsidP="003607CF">
            <w:pPr>
              <w:spacing w:line="240" w:lineRule="auto"/>
              <w:jc w:val="left"/>
              <w:rPr>
                <w:rFonts w:ascii="Tahoma" w:eastAsia="Tahoma" w:hAnsi="Tahoma" w:cs="Tahoma"/>
                <w:b/>
                <w:bCs/>
                <w:color w:val="000000" w:themeColor="text1"/>
              </w:rPr>
            </w:pPr>
            <w:r>
              <w:rPr>
                <w:rFonts w:ascii="Tahoma" w:eastAsia="Tahoma" w:hAnsi="Tahoma" w:cs="Tahoma"/>
                <w:b/>
                <w:bCs/>
                <w:color w:val="000000" w:themeColor="text1"/>
              </w:rPr>
              <w:t>Business Plan Review</w:t>
            </w:r>
          </w:p>
          <w:p w14:paraId="69DE3112" w14:textId="77777777" w:rsidR="00BA6E76" w:rsidRDefault="00BA6E76" w:rsidP="003607CF">
            <w:pPr>
              <w:spacing w:line="240" w:lineRule="auto"/>
              <w:jc w:val="left"/>
              <w:rPr>
                <w:rFonts w:ascii="Tahoma" w:eastAsia="Tahoma" w:hAnsi="Tahoma" w:cs="Tahoma"/>
                <w:color w:val="000000" w:themeColor="text1"/>
              </w:rPr>
            </w:pPr>
          </w:p>
          <w:p w14:paraId="5DA42AF7" w14:textId="77777777" w:rsidR="00BA6E76" w:rsidRDefault="00BA6E76" w:rsidP="003607CF">
            <w:pPr>
              <w:spacing w:line="240" w:lineRule="auto"/>
              <w:jc w:val="left"/>
              <w:rPr>
                <w:rFonts w:ascii="Tahoma" w:eastAsia="Tahoma" w:hAnsi="Tahoma" w:cs="Tahoma"/>
                <w:b/>
                <w:bCs/>
                <w:color w:val="000000" w:themeColor="text1"/>
              </w:rPr>
            </w:pPr>
            <w:r w:rsidRPr="00130305">
              <w:rPr>
                <w:rFonts w:ascii="Tahoma" w:eastAsia="Tahoma" w:hAnsi="Tahoma" w:cs="Tahoma"/>
                <w:b/>
                <w:bCs/>
                <w:color w:val="000000" w:themeColor="text1"/>
              </w:rPr>
              <w:t>Introduction and contextual presentation from CEO</w:t>
            </w:r>
          </w:p>
          <w:p w14:paraId="25DD236E" w14:textId="77777777" w:rsidR="00130305" w:rsidRDefault="00130305" w:rsidP="003607CF">
            <w:pPr>
              <w:spacing w:line="240" w:lineRule="auto"/>
              <w:jc w:val="left"/>
              <w:rPr>
                <w:rFonts w:ascii="Tahoma" w:eastAsia="Tahoma" w:hAnsi="Tahoma" w:cs="Tahoma"/>
                <w:b/>
                <w:bCs/>
                <w:color w:val="000000" w:themeColor="text1"/>
              </w:rPr>
            </w:pPr>
          </w:p>
          <w:p w14:paraId="135606CB" w14:textId="27517DE5" w:rsidR="00123854" w:rsidRDefault="00123854" w:rsidP="5D9F8773">
            <w:pPr>
              <w:spacing w:line="240" w:lineRule="auto"/>
              <w:rPr>
                <w:rFonts w:ascii="Tahoma" w:eastAsia="Tahoma" w:hAnsi="Tahoma" w:cs="Tahoma"/>
                <w:color w:val="000000" w:themeColor="text1"/>
              </w:rPr>
            </w:pPr>
            <w:r w:rsidRPr="5D9F8773">
              <w:rPr>
                <w:rFonts w:ascii="Tahoma" w:eastAsia="Tahoma" w:hAnsi="Tahoma" w:cs="Tahoma"/>
                <w:color w:val="000000" w:themeColor="text1"/>
              </w:rPr>
              <w:t>The CEO gave a presentation giving contextual information to the decision required during this meeting:</w:t>
            </w:r>
          </w:p>
          <w:p w14:paraId="0E6E918F" w14:textId="77777777" w:rsidR="00123854" w:rsidRDefault="00123854" w:rsidP="5D9F8773">
            <w:pPr>
              <w:spacing w:line="240" w:lineRule="auto"/>
              <w:rPr>
                <w:rFonts w:ascii="Tahoma" w:eastAsia="Tahoma" w:hAnsi="Tahoma" w:cs="Tahoma"/>
                <w:color w:val="000000" w:themeColor="text1"/>
              </w:rPr>
            </w:pPr>
          </w:p>
          <w:p w14:paraId="12CE7394" w14:textId="5E21F003" w:rsidR="00123854" w:rsidRPr="00DD3B3F" w:rsidRDefault="00123854" w:rsidP="5D9F8773">
            <w:pPr>
              <w:spacing w:line="240" w:lineRule="auto"/>
              <w:rPr>
                <w:rFonts w:ascii="Tahoma" w:eastAsia="Tahoma" w:hAnsi="Tahoma" w:cs="Tahoma"/>
                <w:b/>
                <w:bCs/>
                <w:color w:val="000000" w:themeColor="text1"/>
              </w:rPr>
            </w:pPr>
            <w:r w:rsidRPr="5D9F8773">
              <w:rPr>
                <w:rFonts w:ascii="Tahoma" w:eastAsia="Tahoma" w:hAnsi="Tahoma" w:cs="Tahoma"/>
                <w:b/>
                <w:bCs/>
                <w:color w:val="000000" w:themeColor="text1"/>
              </w:rPr>
              <w:t>Growth/lending</w:t>
            </w:r>
          </w:p>
          <w:p w14:paraId="298E1096" w14:textId="621D327A" w:rsidR="00DA7F21" w:rsidRDefault="00DA7F21" w:rsidP="5D9F8773">
            <w:pPr>
              <w:spacing w:line="240" w:lineRule="auto"/>
              <w:rPr>
                <w:rFonts w:ascii="Tahoma" w:hAnsi="Tahoma" w:cs="Tahoma"/>
              </w:rPr>
            </w:pPr>
            <w:r w:rsidRPr="5D9F8773">
              <w:rPr>
                <w:rFonts w:ascii="Tahoma" w:hAnsi="Tahoma" w:cs="Tahoma"/>
              </w:rPr>
              <w:t>The Board was reminded that during the Strategic Board event in October 2021, the Board expressed its unanimous view of the desire to continue the growth of Osprey. In the context of favourable lending rates alongside the known commitment to development grant from the current Scottish Government, it was agreed that there was a real opportunity to continue to build more homes.</w:t>
            </w:r>
          </w:p>
          <w:p w14:paraId="26ADAEF8" w14:textId="701E1F1B" w:rsidR="00DA7F21" w:rsidRDefault="00DA7F21" w:rsidP="5D9F8773">
            <w:pPr>
              <w:spacing w:line="240" w:lineRule="auto"/>
              <w:rPr>
                <w:rFonts w:ascii="Tahoma" w:hAnsi="Tahoma" w:cs="Tahoma"/>
              </w:rPr>
            </w:pPr>
          </w:p>
          <w:p w14:paraId="4E9C45CB" w14:textId="116A0526" w:rsidR="00DA7F21" w:rsidRDefault="00DA7F21" w:rsidP="5D9F8773">
            <w:pPr>
              <w:spacing w:line="240" w:lineRule="auto"/>
              <w:rPr>
                <w:rFonts w:ascii="Tahoma" w:hAnsi="Tahoma" w:cs="Tahoma"/>
              </w:rPr>
            </w:pPr>
            <w:r w:rsidRPr="5D9F8773">
              <w:rPr>
                <w:rFonts w:ascii="Tahoma" w:hAnsi="Tahoma" w:cs="Tahoma"/>
              </w:rPr>
              <w:t>Treasury consultants Chatham had subsequently been commissioned to review Osprey’s existing loans, assess future funding requirements to deliver the aspirational Development Programme and to assess re-funding options. Two options had been considered by the R&amp;G Committee at their meeting in November. It had been agreed that further evaluative work was required to explore the two option</w:t>
            </w:r>
            <w:r w:rsidR="006E4AFD" w:rsidRPr="5D9F8773">
              <w:rPr>
                <w:rFonts w:ascii="Tahoma" w:hAnsi="Tahoma" w:cs="Tahoma"/>
              </w:rPr>
              <w:t>s.</w:t>
            </w:r>
          </w:p>
          <w:p w14:paraId="474BA5DB" w14:textId="324FE6F5" w:rsidR="006E4AFD" w:rsidRDefault="006E4AFD" w:rsidP="5D9F8773">
            <w:pPr>
              <w:spacing w:line="240" w:lineRule="auto"/>
              <w:rPr>
                <w:rFonts w:ascii="Tahoma" w:hAnsi="Tahoma" w:cs="Tahoma"/>
              </w:rPr>
            </w:pPr>
          </w:p>
          <w:p w14:paraId="3E5C182D" w14:textId="29096CF0" w:rsidR="006E4AFD" w:rsidRDefault="006E4AFD" w:rsidP="5D9F8773">
            <w:pPr>
              <w:spacing w:line="240" w:lineRule="auto"/>
              <w:rPr>
                <w:rFonts w:ascii="Tahoma" w:hAnsi="Tahoma" w:cs="Tahoma"/>
              </w:rPr>
            </w:pPr>
            <w:r w:rsidRPr="5D9F8773">
              <w:rPr>
                <w:rFonts w:ascii="Tahoma" w:hAnsi="Tahoma" w:cs="Tahoma"/>
              </w:rPr>
              <w:t>The current lenders have come back with a market competitive offer for both the current and additional Revolving Credit Facilities (RCF).</w:t>
            </w:r>
          </w:p>
          <w:p w14:paraId="30256869" w14:textId="77777777" w:rsidR="006E4AFD" w:rsidRDefault="006E4AFD" w:rsidP="5D9F8773">
            <w:pPr>
              <w:spacing w:line="240" w:lineRule="auto"/>
              <w:rPr>
                <w:rFonts w:ascii="Tahoma" w:hAnsi="Tahoma" w:cs="Tahoma"/>
              </w:rPr>
            </w:pPr>
          </w:p>
          <w:p w14:paraId="42602551" w14:textId="2C410ABE" w:rsidR="00123854" w:rsidRPr="00DD3B3F" w:rsidRDefault="00123854" w:rsidP="5D9F8773">
            <w:pPr>
              <w:spacing w:line="240" w:lineRule="auto"/>
              <w:rPr>
                <w:rFonts w:ascii="Tahoma" w:eastAsia="Tahoma" w:hAnsi="Tahoma" w:cs="Tahoma"/>
                <w:b/>
                <w:bCs/>
                <w:color w:val="000000" w:themeColor="text1"/>
              </w:rPr>
            </w:pPr>
            <w:r w:rsidRPr="5D9F8773">
              <w:rPr>
                <w:rFonts w:ascii="Tahoma" w:eastAsia="Tahoma" w:hAnsi="Tahoma" w:cs="Tahoma"/>
                <w:b/>
                <w:bCs/>
                <w:color w:val="000000" w:themeColor="text1"/>
              </w:rPr>
              <w:t>Rent increase</w:t>
            </w:r>
          </w:p>
          <w:p w14:paraId="5645D983" w14:textId="1303E122" w:rsidR="00DD3B3F" w:rsidRDefault="00DD3B3F" w:rsidP="5D9F8773">
            <w:pPr>
              <w:spacing w:line="240" w:lineRule="auto"/>
              <w:rPr>
                <w:rFonts w:ascii="Tahoma" w:eastAsia="Tahoma" w:hAnsi="Tahoma" w:cs="Tahoma"/>
                <w:color w:val="000000" w:themeColor="text1"/>
              </w:rPr>
            </w:pPr>
            <w:r w:rsidRPr="5D9F8773">
              <w:rPr>
                <w:rFonts w:ascii="Tahoma" w:eastAsia="Tahoma" w:hAnsi="Tahoma" w:cs="Tahoma"/>
                <w:color w:val="000000" w:themeColor="text1"/>
              </w:rPr>
              <w:t>The Board noted that the rent consultation for 2022/23 was based on the September CPI of 3.1% which is in line with the Osprey rent setting policy. However, the impact of three rent scenarios were modelled over the affordability model and the projected impacts highlighted over future years.</w:t>
            </w:r>
          </w:p>
          <w:p w14:paraId="16E0889B" w14:textId="08F85FE3" w:rsidR="00DD3B3F" w:rsidRDefault="00DD3B3F" w:rsidP="5D9F8773">
            <w:pPr>
              <w:spacing w:line="240" w:lineRule="auto"/>
              <w:rPr>
                <w:rFonts w:ascii="Tahoma" w:eastAsia="Tahoma" w:hAnsi="Tahoma" w:cs="Tahoma"/>
                <w:color w:val="000000" w:themeColor="text1"/>
              </w:rPr>
            </w:pPr>
            <w:r w:rsidRPr="5D9F8773">
              <w:rPr>
                <w:rFonts w:ascii="Tahoma" w:eastAsia="Tahoma" w:hAnsi="Tahoma" w:cs="Tahoma"/>
                <w:color w:val="000000" w:themeColor="text1"/>
              </w:rPr>
              <w:t xml:space="preserve">As part of the consultation tenants were asked to rank their priorities with affordability and </w:t>
            </w:r>
            <w:proofErr w:type="spellStart"/>
            <w:r w:rsidRPr="5D9F8773">
              <w:rPr>
                <w:rFonts w:ascii="Tahoma" w:eastAsia="Tahoma" w:hAnsi="Tahoma" w:cs="Tahoma"/>
                <w:color w:val="000000" w:themeColor="text1"/>
              </w:rPr>
              <w:t>VfM</w:t>
            </w:r>
            <w:proofErr w:type="spellEnd"/>
            <w:r w:rsidRPr="5D9F8773">
              <w:rPr>
                <w:rFonts w:ascii="Tahoma" w:eastAsia="Tahoma" w:hAnsi="Tahoma" w:cs="Tahoma"/>
                <w:color w:val="000000" w:themeColor="text1"/>
              </w:rPr>
              <w:t xml:space="preserve"> receiving the most votes.</w:t>
            </w:r>
          </w:p>
          <w:p w14:paraId="3B833147" w14:textId="77777777" w:rsidR="00DD3B3F" w:rsidRDefault="00DD3B3F" w:rsidP="003607CF">
            <w:pPr>
              <w:spacing w:line="240" w:lineRule="auto"/>
              <w:jc w:val="left"/>
              <w:rPr>
                <w:rFonts w:ascii="Tahoma" w:eastAsia="Tahoma" w:hAnsi="Tahoma" w:cs="Tahoma"/>
                <w:color w:val="000000" w:themeColor="text1"/>
              </w:rPr>
            </w:pPr>
          </w:p>
          <w:p w14:paraId="1ABE4A9E" w14:textId="77777777" w:rsidR="00123854" w:rsidRPr="00DD3B3F" w:rsidRDefault="00123854" w:rsidP="003607CF">
            <w:pPr>
              <w:spacing w:line="240" w:lineRule="auto"/>
              <w:jc w:val="left"/>
              <w:rPr>
                <w:rFonts w:ascii="Tahoma" w:eastAsia="Tahoma" w:hAnsi="Tahoma" w:cs="Tahoma"/>
                <w:b/>
                <w:bCs/>
                <w:color w:val="000000" w:themeColor="text1"/>
              </w:rPr>
            </w:pPr>
            <w:r w:rsidRPr="00DD3B3F">
              <w:rPr>
                <w:rFonts w:ascii="Tahoma" w:eastAsia="Tahoma" w:hAnsi="Tahoma" w:cs="Tahoma"/>
                <w:b/>
                <w:bCs/>
                <w:color w:val="000000" w:themeColor="text1"/>
              </w:rPr>
              <w:t>Cost of living award</w:t>
            </w:r>
          </w:p>
          <w:p w14:paraId="0921E667" w14:textId="77777777" w:rsidR="00123854" w:rsidRDefault="00DD3B3F" w:rsidP="5D9F8773">
            <w:pPr>
              <w:spacing w:line="240" w:lineRule="auto"/>
              <w:rPr>
                <w:rFonts w:ascii="Tahoma" w:eastAsia="Tahoma" w:hAnsi="Tahoma" w:cs="Tahoma"/>
                <w:color w:val="000000" w:themeColor="text1"/>
              </w:rPr>
            </w:pPr>
            <w:r w:rsidRPr="5D9F8773">
              <w:rPr>
                <w:rFonts w:ascii="Tahoma" w:eastAsia="Tahoma" w:hAnsi="Tahoma" w:cs="Tahoma"/>
                <w:color w:val="000000" w:themeColor="text1"/>
              </w:rPr>
              <w:t xml:space="preserve">The Board was informed that the Remuneration committee had met the previous week and considered the proposed </w:t>
            </w:r>
            <w:r w:rsidRPr="5D9F8773">
              <w:rPr>
                <w:rFonts w:ascii="Tahoma" w:eastAsia="Tahoma" w:hAnsi="Tahoma" w:cs="Tahoma"/>
                <w:color w:val="000000" w:themeColor="text1"/>
              </w:rPr>
              <w:lastRenderedPageBreak/>
              <w:t>3.1% CPI as a minimum. To reflect the staff performance through recognition and reward the Remuneration Committee also suggested that the Board should consider a 3.5% award to all scale points.</w:t>
            </w:r>
          </w:p>
          <w:p w14:paraId="540736AD" w14:textId="3A0C68EC" w:rsidR="00DD3B3F" w:rsidRPr="00123854" w:rsidRDefault="00DD3B3F" w:rsidP="003607CF">
            <w:pPr>
              <w:spacing w:line="240" w:lineRule="auto"/>
              <w:jc w:val="left"/>
              <w:rPr>
                <w:rFonts w:ascii="Tahoma" w:eastAsia="Tahoma" w:hAnsi="Tahoma" w:cs="Tahoma"/>
                <w:color w:val="000000" w:themeColor="text1"/>
              </w:rPr>
            </w:pPr>
          </w:p>
        </w:tc>
        <w:tc>
          <w:tcPr>
            <w:tcW w:w="1331" w:type="dxa"/>
            <w:tcBorders>
              <w:bottom w:val="single" w:sz="4" w:space="0" w:color="auto"/>
            </w:tcBorders>
            <w:shd w:val="clear" w:color="auto" w:fill="auto"/>
          </w:tcPr>
          <w:p w14:paraId="70B8183A" w14:textId="77777777" w:rsidR="15429A43" w:rsidRDefault="15429A43" w:rsidP="003607CF">
            <w:pPr>
              <w:spacing w:line="240" w:lineRule="auto"/>
              <w:jc w:val="left"/>
              <w:rPr>
                <w:rFonts w:ascii="Tahoma" w:eastAsia="Tahoma" w:hAnsi="Tahoma" w:cs="Tahoma"/>
                <w:b/>
                <w:bCs/>
                <w:color w:val="000000" w:themeColor="text1"/>
              </w:rPr>
            </w:pPr>
          </w:p>
          <w:p w14:paraId="79E971F9" w14:textId="77777777" w:rsidR="00BA6E76" w:rsidRDefault="00BA6E76" w:rsidP="003607CF">
            <w:pPr>
              <w:spacing w:line="240" w:lineRule="auto"/>
              <w:jc w:val="left"/>
              <w:rPr>
                <w:rFonts w:ascii="Tahoma" w:eastAsia="Tahoma" w:hAnsi="Tahoma" w:cs="Tahoma"/>
                <w:b/>
                <w:bCs/>
                <w:color w:val="000000" w:themeColor="text1"/>
              </w:rPr>
            </w:pPr>
          </w:p>
          <w:p w14:paraId="564FA407" w14:textId="340ED45A" w:rsidR="00BA6E76" w:rsidRDefault="00BA6E76" w:rsidP="003607CF">
            <w:pPr>
              <w:spacing w:line="240" w:lineRule="auto"/>
              <w:jc w:val="left"/>
              <w:rPr>
                <w:rFonts w:ascii="Tahoma" w:eastAsia="Tahoma" w:hAnsi="Tahoma" w:cs="Tahoma"/>
                <w:b/>
                <w:bCs/>
                <w:color w:val="000000" w:themeColor="text1"/>
              </w:rPr>
            </w:pPr>
            <w:r>
              <w:rPr>
                <w:rFonts w:ascii="Tahoma" w:eastAsia="Tahoma" w:hAnsi="Tahoma" w:cs="Tahoma"/>
                <w:b/>
                <w:bCs/>
                <w:color w:val="000000" w:themeColor="text1"/>
              </w:rPr>
              <w:t>CEO</w:t>
            </w:r>
          </w:p>
        </w:tc>
      </w:tr>
      <w:tr w:rsidR="00123854" w14:paraId="52D1187D" w14:textId="77777777" w:rsidTr="5522084D">
        <w:trPr>
          <w:trHeight w:val="247"/>
          <w:tblHeader/>
        </w:trPr>
        <w:tc>
          <w:tcPr>
            <w:tcW w:w="1306" w:type="dxa"/>
            <w:tcBorders>
              <w:bottom w:val="single" w:sz="4" w:space="0" w:color="auto"/>
            </w:tcBorders>
            <w:shd w:val="clear" w:color="auto" w:fill="auto"/>
          </w:tcPr>
          <w:p w14:paraId="274502AE" w14:textId="2ED03266" w:rsidR="00123854" w:rsidRPr="7A3C8C62" w:rsidRDefault="00123854" w:rsidP="003607CF">
            <w:pPr>
              <w:spacing w:line="240" w:lineRule="auto"/>
              <w:jc w:val="left"/>
              <w:rPr>
                <w:rFonts w:ascii="Tahoma" w:eastAsia="Tahoma" w:hAnsi="Tahoma" w:cs="Tahoma"/>
                <w:b/>
                <w:bCs/>
                <w:color w:val="000000" w:themeColor="text1"/>
              </w:rPr>
            </w:pPr>
            <w:r>
              <w:rPr>
                <w:rFonts w:ascii="Tahoma" w:eastAsia="Tahoma" w:hAnsi="Tahoma" w:cs="Tahoma"/>
                <w:b/>
                <w:bCs/>
                <w:color w:val="000000" w:themeColor="text1"/>
              </w:rPr>
              <w:t>3.2</w:t>
            </w:r>
          </w:p>
        </w:tc>
        <w:tc>
          <w:tcPr>
            <w:tcW w:w="6606" w:type="dxa"/>
            <w:tcBorders>
              <w:bottom w:val="single" w:sz="4" w:space="0" w:color="auto"/>
            </w:tcBorders>
            <w:shd w:val="clear" w:color="auto" w:fill="auto"/>
            <w:vAlign w:val="center"/>
          </w:tcPr>
          <w:p w14:paraId="05934F09" w14:textId="77777777" w:rsidR="00123854" w:rsidRDefault="00123854" w:rsidP="5D9F8773">
            <w:pPr>
              <w:spacing w:line="240" w:lineRule="auto"/>
              <w:rPr>
                <w:rFonts w:ascii="Tahoma" w:eastAsia="Tahoma" w:hAnsi="Tahoma" w:cs="Tahoma"/>
                <w:b/>
                <w:bCs/>
                <w:color w:val="000000" w:themeColor="text1"/>
              </w:rPr>
            </w:pPr>
            <w:r w:rsidRPr="5D9F8773">
              <w:rPr>
                <w:rFonts w:ascii="Tahoma" w:eastAsia="Tahoma" w:hAnsi="Tahoma" w:cs="Tahoma"/>
                <w:b/>
                <w:bCs/>
                <w:color w:val="000000" w:themeColor="text1"/>
              </w:rPr>
              <w:t xml:space="preserve">Business Plan Presentation by Gillian Houston – </w:t>
            </w:r>
            <w:proofErr w:type="spellStart"/>
            <w:r w:rsidRPr="5D9F8773">
              <w:rPr>
                <w:rFonts w:ascii="Tahoma" w:eastAsia="Tahoma" w:hAnsi="Tahoma" w:cs="Tahoma"/>
                <w:b/>
                <w:bCs/>
                <w:color w:val="000000" w:themeColor="text1"/>
              </w:rPr>
              <w:t>Arneil</w:t>
            </w:r>
            <w:proofErr w:type="spellEnd"/>
            <w:r w:rsidRPr="5D9F8773">
              <w:rPr>
                <w:rFonts w:ascii="Tahoma" w:eastAsia="Tahoma" w:hAnsi="Tahoma" w:cs="Tahoma"/>
                <w:b/>
                <w:bCs/>
                <w:color w:val="000000" w:themeColor="text1"/>
              </w:rPr>
              <w:t xml:space="preserve"> Johnston</w:t>
            </w:r>
          </w:p>
          <w:p w14:paraId="194CA573" w14:textId="77777777" w:rsidR="00123854" w:rsidRDefault="00123854" w:rsidP="5D9F8773">
            <w:pPr>
              <w:spacing w:line="240" w:lineRule="auto"/>
              <w:rPr>
                <w:rFonts w:ascii="Tahoma" w:eastAsia="Tahoma" w:hAnsi="Tahoma" w:cs="Tahoma"/>
                <w:b/>
                <w:bCs/>
                <w:color w:val="000000" w:themeColor="text1"/>
              </w:rPr>
            </w:pPr>
          </w:p>
          <w:p w14:paraId="4981CD6B" w14:textId="278CA4EA" w:rsidR="00123854" w:rsidRDefault="008107F3" w:rsidP="5D9F8773">
            <w:pPr>
              <w:spacing w:line="240" w:lineRule="auto"/>
              <w:rPr>
                <w:rFonts w:ascii="Tahoma" w:eastAsia="Tahoma" w:hAnsi="Tahoma" w:cs="Tahoma"/>
                <w:color w:val="000000" w:themeColor="text1"/>
              </w:rPr>
            </w:pPr>
            <w:r w:rsidRPr="5D9F8773">
              <w:rPr>
                <w:rFonts w:ascii="Tahoma" w:eastAsia="Tahoma" w:hAnsi="Tahoma" w:cs="Tahoma"/>
                <w:color w:val="000000" w:themeColor="text1"/>
              </w:rPr>
              <w:t xml:space="preserve">GH gave a detailed presentation outlining the viability and resilience of the </w:t>
            </w:r>
            <w:bookmarkStart w:id="0" w:name="_Int_Ew1qNolv"/>
            <w:r w:rsidRPr="5D9F8773">
              <w:rPr>
                <w:rFonts w:ascii="Tahoma" w:eastAsia="Tahoma" w:hAnsi="Tahoma" w:cs="Tahoma"/>
                <w:color w:val="000000" w:themeColor="text1"/>
              </w:rPr>
              <w:t>30 year</w:t>
            </w:r>
            <w:bookmarkEnd w:id="0"/>
            <w:r w:rsidRPr="5D9F8773">
              <w:rPr>
                <w:rFonts w:ascii="Tahoma" w:eastAsia="Tahoma" w:hAnsi="Tahoma" w:cs="Tahoma"/>
                <w:color w:val="000000" w:themeColor="text1"/>
              </w:rPr>
              <w:t xml:space="preserve"> Financial Business Plan based on a range of different scenarios and stress tests</w:t>
            </w:r>
            <w:r w:rsidR="00DD3B3F" w:rsidRPr="5D9F8773">
              <w:rPr>
                <w:rFonts w:ascii="Tahoma" w:eastAsia="Tahoma" w:hAnsi="Tahoma" w:cs="Tahoma"/>
                <w:color w:val="000000" w:themeColor="text1"/>
              </w:rPr>
              <w:t>.</w:t>
            </w:r>
          </w:p>
          <w:p w14:paraId="1D84894E" w14:textId="6C77C307" w:rsidR="00DD3B3F" w:rsidRPr="008107F3" w:rsidRDefault="00DD3B3F" w:rsidP="5D9F8773">
            <w:pPr>
              <w:spacing w:line="240" w:lineRule="auto"/>
              <w:rPr>
                <w:rFonts w:ascii="Tahoma" w:eastAsia="Tahoma" w:hAnsi="Tahoma" w:cs="Tahoma"/>
                <w:color w:val="000000" w:themeColor="text1"/>
              </w:rPr>
            </w:pPr>
          </w:p>
        </w:tc>
        <w:tc>
          <w:tcPr>
            <w:tcW w:w="1331" w:type="dxa"/>
            <w:tcBorders>
              <w:bottom w:val="single" w:sz="4" w:space="0" w:color="auto"/>
            </w:tcBorders>
            <w:shd w:val="clear" w:color="auto" w:fill="auto"/>
          </w:tcPr>
          <w:p w14:paraId="009442BE" w14:textId="77777777" w:rsidR="00123854" w:rsidRDefault="00123854" w:rsidP="003607CF">
            <w:pPr>
              <w:spacing w:line="240" w:lineRule="auto"/>
              <w:jc w:val="left"/>
              <w:rPr>
                <w:rFonts w:ascii="Tahoma" w:eastAsia="Tahoma" w:hAnsi="Tahoma" w:cs="Tahoma"/>
                <w:b/>
                <w:bCs/>
                <w:color w:val="000000" w:themeColor="text1"/>
              </w:rPr>
            </w:pPr>
          </w:p>
        </w:tc>
      </w:tr>
      <w:tr w:rsidR="7A3C8C62" w14:paraId="582CF020" w14:textId="77777777" w:rsidTr="5522084D">
        <w:trPr>
          <w:trHeight w:val="247"/>
          <w:tblHeader/>
        </w:trPr>
        <w:tc>
          <w:tcPr>
            <w:tcW w:w="1306" w:type="dxa"/>
            <w:tcBorders>
              <w:bottom w:val="single" w:sz="4" w:space="0" w:color="auto"/>
            </w:tcBorders>
            <w:shd w:val="clear" w:color="auto" w:fill="auto"/>
          </w:tcPr>
          <w:p w14:paraId="32B81E53" w14:textId="77777777" w:rsidR="15429A43" w:rsidRDefault="15429A43" w:rsidP="003607CF">
            <w:pPr>
              <w:spacing w:line="240" w:lineRule="auto"/>
              <w:jc w:val="left"/>
              <w:rPr>
                <w:rFonts w:ascii="Tahoma" w:eastAsia="Tahoma" w:hAnsi="Tahoma" w:cs="Tahoma"/>
                <w:b/>
                <w:bCs/>
                <w:color w:val="000000" w:themeColor="text1"/>
              </w:rPr>
            </w:pPr>
            <w:r w:rsidRPr="7A3C8C62">
              <w:rPr>
                <w:rFonts w:ascii="Tahoma" w:eastAsia="Tahoma" w:hAnsi="Tahoma" w:cs="Tahoma"/>
                <w:b/>
                <w:bCs/>
                <w:color w:val="000000" w:themeColor="text1"/>
              </w:rPr>
              <w:t>4</w:t>
            </w:r>
          </w:p>
          <w:p w14:paraId="56D6F5FB" w14:textId="77777777" w:rsidR="00F14AA5" w:rsidRDefault="00F14AA5" w:rsidP="003607CF">
            <w:pPr>
              <w:spacing w:line="240" w:lineRule="auto"/>
              <w:jc w:val="left"/>
              <w:rPr>
                <w:rFonts w:ascii="Tahoma" w:eastAsia="Tahoma" w:hAnsi="Tahoma" w:cs="Tahoma"/>
                <w:b/>
                <w:bCs/>
                <w:color w:val="000000" w:themeColor="text1"/>
              </w:rPr>
            </w:pPr>
          </w:p>
          <w:p w14:paraId="4B507767" w14:textId="54F3F41D" w:rsidR="00F14AA5" w:rsidRDefault="00F14AA5" w:rsidP="003607CF">
            <w:pPr>
              <w:spacing w:line="240" w:lineRule="auto"/>
              <w:jc w:val="left"/>
              <w:rPr>
                <w:rFonts w:ascii="Tahoma" w:eastAsia="Tahoma" w:hAnsi="Tahoma" w:cs="Tahoma"/>
                <w:b/>
                <w:bCs/>
                <w:color w:val="000000" w:themeColor="text1"/>
              </w:rPr>
            </w:pPr>
            <w:r>
              <w:rPr>
                <w:rFonts w:ascii="Tahoma" w:eastAsia="Tahoma" w:hAnsi="Tahoma" w:cs="Tahoma"/>
                <w:b/>
                <w:bCs/>
                <w:color w:val="000000" w:themeColor="text1"/>
              </w:rPr>
              <w:t>4.1</w:t>
            </w:r>
          </w:p>
        </w:tc>
        <w:tc>
          <w:tcPr>
            <w:tcW w:w="6606" w:type="dxa"/>
            <w:tcBorders>
              <w:bottom w:val="single" w:sz="4" w:space="0" w:color="auto"/>
            </w:tcBorders>
            <w:shd w:val="clear" w:color="auto" w:fill="auto"/>
            <w:vAlign w:val="center"/>
          </w:tcPr>
          <w:p w14:paraId="6E005B61" w14:textId="2DE8D3E7" w:rsidR="15429A43" w:rsidRDefault="00DD3B3F" w:rsidP="5D9F8773">
            <w:pPr>
              <w:spacing w:line="240" w:lineRule="auto"/>
              <w:rPr>
                <w:rFonts w:ascii="Tahoma" w:eastAsia="Tahoma" w:hAnsi="Tahoma" w:cs="Tahoma"/>
                <w:b/>
                <w:bCs/>
                <w:color w:val="000000" w:themeColor="text1"/>
              </w:rPr>
            </w:pPr>
            <w:r w:rsidRPr="5D9F8773">
              <w:rPr>
                <w:rFonts w:ascii="Tahoma" w:eastAsia="Tahoma" w:hAnsi="Tahoma" w:cs="Tahoma"/>
                <w:b/>
                <w:bCs/>
                <w:color w:val="000000" w:themeColor="text1"/>
              </w:rPr>
              <w:t>Business Plan Decision</w:t>
            </w:r>
          </w:p>
          <w:p w14:paraId="581616D0" w14:textId="627617DB" w:rsidR="00F14AA5" w:rsidRDefault="00F14AA5" w:rsidP="5D9F8773">
            <w:pPr>
              <w:spacing w:line="240" w:lineRule="auto"/>
              <w:rPr>
                <w:rFonts w:ascii="Tahoma" w:eastAsia="Tahoma" w:hAnsi="Tahoma" w:cs="Tahoma"/>
                <w:b/>
                <w:bCs/>
                <w:color w:val="000000" w:themeColor="text1"/>
              </w:rPr>
            </w:pPr>
          </w:p>
          <w:p w14:paraId="677E14C8" w14:textId="1013956F" w:rsidR="00F14AA5" w:rsidRDefault="00F14AA5" w:rsidP="5D9F8773">
            <w:pPr>
              <w:spacing w:line="240" w:lineRule="auto"/>
              <w:rPr>
                <w:rFonts w:ascii="Tahoma" w:eastAsia="Tahoma" w:hAnsi="Tahoma" w:cs="Tahoma"/>
                <w:b/>
                <w:bCs/>
                <w:color w:val="000000" w:themeColor="text1"/>
              </w:rPr>
            </w:pPr>
            <w:r w:rsidRPr="5D9F8773">
              <w:rPr>
                <w:rFonts w:ascii="Tahoma" w:eastAsia="Tahoma" w:hAnsi="Tahoma" w:cs="Tahoma"/>
                <w:b/>
                <w:bCs/>
                <w:color w:val="000000" w:themeColor="text1"/>
              </w:rPr>
              <w:t>Treasury Management and (Re)financing.</w:t>
            </w:r>
          </w:p>
          <w:p w14:paraId="261D9B76" w14:textId="5A58790C" w:rsidR="7A3C8C62" w:rsidRDefault="7A3C8C62" w:rsidP="5D9F8773">
            <w:pPr>
              <w:spacing w:line="240" w:lineRule="auto"/>
              <w:rPr>
                <w:rFonts w:ascii="Tahoma" w:hAnsi="Tahoma" w:cs="Tahoma"/>
                <w:color w:val="000000" w:themeColor="text1"/>
              </w:rPr>
            </w:pPr>
          </w:p>
          <w:p w14:paraId="0F28A445" w14:textId="2969B1C5" w:rsidR="00F14AA5" w:rsidRDefault="00AD48EB" w:rsidP="5D9F8773">
            <w:pPr>
              <w:spacing w:line="240" w:lineRule="auto"/>
              <w:rPr>
                <w:rFonts w:ascii="Tahoma" w:hAnsi="Tahoma" w:cs="Tahoma"/>
                <w:color w:val="000000" w:themeColor="text1"/>
              </w:rPr>
            </w:pPr>
            <w:r w:rsidRPr="5D9F8773">
              <w:rPr>
                <w:rFonts w:ascii="Tahoma" w:hAnsi="Tahoma" w:cs="Tahoma"/>
                <w:color w:val="000000" w:themeColor="text1"/>
              </w:rPr>
              <w:t>The DF presented a report providing the Board with an update on recent treasury discussions/negotiations and to provide clear recommendations for progressing matters.</w:t>
            </w:r>
          </w:p>
          <w:p w14:paraId="44EEE024" w14:textId="1B19AA4F" w:rsidR="002D587D" w:rsidRDefault="002D587D" w:rsidP="5D9F8773">
            <w:pPr>
              <w:spacing w:line="240" w:lineRule="auto"/>
              <w:rPr>
                <w:rFonts w:ascii="Tahoma" w:hAnsi="Tahoma" w:cs="Tahoma"/>
                <w:color w:val="000000" w:themeColor="text1"/>
              </w:rPr>
            </w:pPr>
          </w:p>
          <w:p w14:paraId="42A75B63" w14:textId="038C7C14" w:rsidR="002D587D" w:rsidRDefault="002D587D" w:rsidP="5D9F8773">
            <w:pPr>
              <w:spacing w:line="240" w:lineRule="auto"/>
              <w:rPr>
                <w:rFonts w:ascii="Tahoma" w:hAnsi="Tahoma" w:cs="Tahoma"/>
                <w:color w:val="000000" w:themeColor="text1"/>
              </w:rPr>
            </w:pPr>
            <w:r w:rsidRPr="5D9F8773">
              <w:rPr>
                <w:rFonts w:ascii="Tahoma" w:hAnsi="Tahoma" w:cs="Tahoma"/>
                <w:color w:val="000000" w:themeColor="text1"/>
              </w:rPr>
              <w:t>Although existing and imminent developments are fundable from existing loan facilities and cash reserves, additional funding is required to fund any future projects.</w:t>
            </w:r>
          </w:p>
          <w:p w14:paraId="48D2F967" w14:textId="32C6DC06" w:rsidR="002D587D" w:rsidRDefault="002D587D" w:rsidP="5D9F8773">
            <w:pPr>
              <w:spacing w:line="240" w:lineRule="auto"/>
              <w:rPr>
                <w:rFonts w:ascii="Tahoma" w:hAnsi="Tahoma" w:cs="Tahoma"/>
                <w:color w:val="000000" w:themeColor="text1"/>
              </w:rPr>
            </w:pPr>
          </w:p>
          <w:p w14:paraId="11F3AC52" w14:textId="2A4098C7" w:rsidR="002D587D" w:rsidRDefault="002D587D" w:rsidP="5D9F8773">
            <w:pPr>
              <w:spacing w:line="240" w:lineRule="auto"/>
              <w:rPr>
                <w:rFonts w:ascii="Tahoma" w:hAnsi="Tahoma" w:cs="Tahoma"/>
                <w:color w:val="000000" w:themeColor="text1"/>
              </w:rPr>
            </w:pPr>
            <w:r w:rsidRPr="5D9F8773">
              <w:rPr>
                <w:rFonts w:ascii="Tahoma" w:hAnsi="Tahoma" w:cs="Tahoma"/>
                <w:color w:val="000000" w:themeColor="text1"/>
              </w:rPr>
              <w:t xml:space="preserve">The report from </w:t>
            </w:r>
            <w:r w:rsidR="00ED4696" w:rsidRPr="5D9F8773">
              <w:rPr>
                <w:rFonts w:ascii="Tahoma" w:hAnsi="Tahoma" w:cs="Tahoma"/>
                <w:color w:val="000000" w:themeColor="text1"/>
              </w:rPr>
              <w:t>Chatham’s</w:t>
            </w:r>
            <w:r w:rsidRPr="5D9F8773">
              <w:rPr>
                <w:rFonts w:ascii="Tahoma" w:hAnsi="Tahoma" w:cs="Tahoma"/>
                <w:color w:val="000000" w:themeColor="text1"/>
              </w:rPr>
              <w:t xml:space="preserve"> highlighted the requirement for additional liquidity of £11.5 to deliver the aspirational Business Plan which should be secured through either:</w:t>
            </w:r>
          </w:p>
          <w:p w14:paraId="3BB469C3" w14:textId="64CE4B53" w:rsidR="002D587D" w:rsidRPr="002710E8" w:rsidRDefault="002D587D" w:rsidP="5D9F8773">
            <w:pPr>
              <w:pStyle w:val="ListParagraph"/>
              <w:numPr>
                <w:ilvl w:val="0"/>
                <w:numId w:val="39"/>
              </w:numPr>
              <w:spacing w:line="240" w:lineRule="auto"/>
              <w:rPr>
                <w:rFonts w:ascii="Tahoma" w:hAnsi="Tahoma" w:cs="Tahoma"/>
                <w:color w:val="000000" w:themeColor="text1"/>
              </w:rPr>
            </w:pPr>
            <w:r w:rsidRPr="5D9F8773">
              <w:rPr>
                <w:rFonts w:ascii="Tahoma" w:hAnsi="Tahoma" w:cs="Tahoma"/>
                <w:color w:val="000000" w:themeColor="text1"/>
              </w:rPr>
              <w:t>Option 1 – an additional RCF/Fixed Rate loan combination or</w:t>
            </w:r>
          </w:p>
          <w:p w14:paraId="66BA8F0C" w14:textId="022212BC" w:rsidR="002D587D" w:rsidRPr="002710E8" w:rsidRDefault="002D587D" w:rsidP="5D9F8773">
            <w:pPr>
              <w:pStyle w:val="ListParagraph"/>
              <w:numPr>
                <w:ilvl w:val="0"/>
                <w:numId w:val="39"/>
              </w:numPr>
              <w:spacing w:line="240" w:lineRule="auto"/>
              <w:rPr>
                <w:rFonts w:ascii="Tahoma" w:hAnsi="Tahoma" w:cs="Tahoma"/>
                <w:color w:val="000000" w:themeColor="text1"/>
              </w:rPr>
            </w:pPr>
            <w:r w:rsidRPr="5D9F8773">
              <w:rPr>
                <w:rFonts w:ascii="Tahoma" w:hAnsi="Tahoma" w:cs="Tahoma"/>
                <w:color w:val="000000" w:themeColor="text1"/>
              </w:rPr>
              <w:t xml:space="preserve">Option 2 – a complete re-financing “big-bang” approach via a </w:t>
            </w:r>
            <w:r w:rsidR="002710E8" w:rsidRPr="5D9F8773">
              <w:rPr>
                <w:rFonts w:ascii="Tahoma" w:hAnsi="Tahoma" w:cs="Tahoma"/>
                <w:color w:val="000000" w:themeColor="text1"/>
              </w:rPr>
              <w:t>private</w:t>
            </w:r>
            <w:r w:rsidRPr="5D9F8773">
              <w:rPr>
                <w:rFonts w:ascii="Tahoma" w:hAnsi="Tahoma" w:cs="Tahoma"/>
                <w:color w:val="000000" w:themeColor="text1"/>
              </w:rPr>
              <w:t xml:space="preserve"> placement for £58M (incl</w:t>
            </w:r>
            <w:r w:rsidR="00ED4696" w:rsidRPr="5D9F8773">
              <w:rPr>
                <w:rFonts w:ascii="Tahoma" w:hAnsi="Tahoma" w:cs="Tahoma"/>
                <w:color w:val="000000" w:themeColor="text1"/>
              </w:rPr>
              <w:t>.</w:t>
            </w:r>
            <w:r w:rsidRPr="5D9F8773">
              <w:rPr>
                <w:rFonts w:ascii="Tahoma" w:hAnsi="Tahoma" w:cs="Tahoma"/>
                <w:color w:val="000000" w:themeColor="text1"/>
              </w:rPr>
              <w:t xml:space="preserve"> breakage costs of existing legacy loans).</w:t>
            </w:r>
          </w:p>
          <w:p w14:paraId="01F2E193" w14:textId="5DC46F09" w:rsidR="002D587D" w:rsidRDefault="002D587D" w:rsidP="5D9F8773">
            <w:pPr>
              <w:spacing w:line="240" w:lineRule="auto"/>
              <w:rPr>
                <w:rFonts w:ascii="Tahoma" w:hAnsi="Tahoma" w:cs="Tahoma"/>
                <w:color w:val="000000" w:themeColor="text1"/>
              </w:rPr>
            </w:pPr>
          </w:p>
          <w:p w14:paraId="2D86A8FE" w14:textId="01AEA9BE" w:rsidR="002D587D" w:rsidRDefault="002D587D" w:rsidP="5D9F8773">
            <w:pPr>
              <w:spacing w:line="240" w:lineRule="auto"/>
              <w:rPr>
                <w:rFonts w:ascii="Tahoma" w:hAnsi="Tahoma" w:cs="Tahoma"/>
                <w:color w:val="000000" w:themeColor="text1"/>
              </w:rPr>
            </w:pPr>
            <w:r w:rsidRPr="5D9F8773">
              <w:rPr>
                <w:rFonts w:ascii="Tahoma" w:hAnsi="Tahoma" w:cs="Tahoma"/>
                <w:color w:val="000000" w:themeColor="text1"/>
              </w:rPr>
              <w:t>Following a meeting between the CEO, DF and Lloyds a proposal was received to amalgamate the existing RCFs and provide additional lending of £12.5M, both of which to be extended for a period of five years, plus the ability flexibly extend for up to a further 2 years.</w:t>
            </w:r>
            <w:r w:rsidR="00475575" w:rsidRPr="5D9F8773">
              <w:rPr>
                <w:rFonts w:ascii="Tahoma" w:hAnsi="Tahoma" w:cs="Tahoma"/>
                <w:color w:val="000000" w:themeColor="text1"/>
              </w:rPr>
              <w:t xml:space="preserve"> </w:t>
            </w:r>
          </w:p>
          <w:p w14:paraId="4892F654" w14:textId="75D63244" w:rsidR="002D587D" w:rsidRDefault="002D587D" w:rsidP="5D9F8773">
            <w:pPr>
              <w:spacing w:line="240" w:lineRule="auto"/>
              <w:rPr>
                <w:rFonts w:ascii="Tahoma" w:hAnsi="Tahoma" w:cs="Tahoma"/>
                <w:color w:val="000000" w:themeColor="text1"/>
              </w:rPr>
            </w:pPr>
          </w:p>
          <w:p w14:paraId="53E493AC" w14:textId="74FD2435" w:rsidR="002D587D" w:rsidRDefault="00475575" w:rsidP="5D9F8773">
            <w:pPr>
              <w:spacing w:line="240" w:lineRule="auto"/>
              <w:rPr>
                <w:rFonts w:ascii="Tahoma" w:hAnsi="Tahoma" w:cs="Tahoma"/>
                <w:color w:val="000000" w:themeColor="text1"/>
              </w:rPr>
            </w:pPr>
            <w:r w:rsidRPr="5D9F8773">
              <w:rPr>
                <w:rFonts w:ascii="Tahoma" w:hAnsi="Tahoma" w:cs="Tahoma"/>
                <w:color w:val="000000" w:themeColor="text1"/>
              </w:rPr>
              <w:t>Key details are:</w:t>
            </w:r>
          </w:p>
          <w:p w14:paraId="23FAAFB1" w14:textId="13D2BB07" w:rsidR="00475575" w:rsidRPr="00475575" w:rsidRDefault="00475575" w:rsidP="5D9F8773">
            <w:pPr>
              <w:pStyle w:val="ListParagraph"/>
              <w:widowControl/>
              <w:numPr>
                <w:ilvl w:val="0"/>
                <w:numId w:val="33"/>
              </w:numPr>
              <w:adjustRightInd/>
              <w:spacing w:line="240" w:lineRule="auto"/>
              <w:textAlignment w:val="auto"/>
              <w:rPr>
                <w:rFonts w:ascii="Tahoma" w:hAnsi="Tahoma" w:cs="Tahoma"/>
                <w:color w:val="000000" w:themeColor="text1"/>
              </w:rPr>
            </w:pPr>
            <w:r w:rsidRPr="5D9F8773">
              <w:rPr>
                <w:rFonts w:ascii="Tahoma" w:hAnsi="Tahoma" w:cs="Tahoma"/>
                <w:color w:val="000000" w:themeColor="text1"/>
              </w:rPr>
              <w:t>Proposed margin for all RCFs is 100bps. This is a 25bp decrease on Tranche B (£7.5m RCF), and a 20bp decrease on Tranche C (£5m RCF)</w:t>
            </w:r>
          </w:p>
          <w:p w14:paraId="327E9695" w14:textId="018041F7" w:rsidR="00475575" w:rsidRPr="00475575" w:rsidRDefault="00475575" w:rsidP="5D9F8773">
            <w:pPr>
              <w:pStyle w:val="ListParagraph"/>
              <w:widowControl/>
              <w:numPr>
                <w:ilvl w:val="0"/>
                <w:numId w:val="33"/>
              </w:numPr>
              <w:adjustRightInd/>
              <w:spacing w:line="240" w:lineRule="auto"/>
              <w:textAlignment w:val="auto"/>
              <w:rPr>
                <w:rFonts w:ascii="Tahoma" w:hAnsi="Tahoma" w:cs="Tahoma"/>
                <w:color w:val="000000" w:themeColor="text1"/>
              </w:rPr>
            </w:pPr>
            <w:r w:rsidRPr="5D9F8773">
              <w:rPr>
                <w:rFonts w:ascii="Tahoma" w:hAnsi="Tahoma" w:cs="Tahoma"/>
                <w:color w:val="000000" w:themeColor="text1"/>
              </w:rPr>
              <w:t>An arrangement fee of 0.40% of the increased £12.5m amount and an amendment fee of 0.20% of the existing RCF commitments (also £12.5m)</w:t>
            </w:r>
          </w:p>
          <w:p w14:paraId="318FF460" w14:textId="6DA2C34C" w:rsidR="00475575" w:rsidRPr="00475575" w:rsidRDefault="00475575" w:rsidP="5D9F8773">
            <w:pPr>
              <w:pStyle w:val="ListParagraph"/>
              <w:widowControl/>
              <w:numPr>
                <w:ilvl w:val="0"/>
                <w:numId w:val="33"/>
              </w:numPr>
              <w:adjustRightInd/>
              <w:spacing w:line="240" w:lineRule="auto"/>
              <w:textAlignment w:val="auto"/>
              <w:rPr>
                <w:rFonts w:ascii="Tahoma" w:hAnsi="Tahoma" w:cs="Tahoma"/>
                <w:color w:val="000000" w:themeColor="text1"/>
              </w:rPr>
            </w:pPr>
            <w:r w:rsidRPr="5D9F8773">
              <w:rPr>
                <w:rFonts w:ascii="Tahoma" w:hAnsi="Tahoma" w:cs="Tahoma"/>
                <w:color w:val="000000" w:themeColor="text1"/>
              </w:rPr>
              <w:t xml:space="preserve">Interest Cover: currently Osprey’s covenant is 125% EBITDA-MRI in respect of each FY. It is proposed to </w:t>
            </w:r>
            <w:r w:rsidRPr="5D9F8773">
              <w:rPr>
                <w:rFonts w:ascii="Tahoma" w:hAnsi="Tahoma" w:cs="Tahoma"/>
                <w:color w:val="000000" w:themeColor="text1"/>
              </w:rPr>
              <w:lastRenderedPageBreak/>
              <w:t>reduce this to 100% per year, 110% 3 year rolling average. The definition has been updated to make explicit the treatment of impairment charges (Current definition is silent on these)</w:t>
            </w:r>
          </w:p>
          <w:p w14:paraId="37DB4F4C" w14:textId="3CF0733C" w:rsidR="00475575" w:rsidRPr="00475575" w:rsidRDefault="00475575" w:rsidP="5D9F8773">
            <w:pPr>
              <w:pStyle w:val="ListParagraph"/>
              <w:widowControl/>
              <w:numPr>
                <w:ilvl w:val="0"/>
                <w:numId w:val="33"/>
              </w:numPr>
              <w:adjustRightInd/>
              <w:spacing w:line="240" w:lineRule="auto"/>
              <w:textAlignment w:val="auto"/>
              <w:rPr>
                <w:rFonts w:ascii="Tahoma" w:hAnsi="Tahoma" w:cs="Tahoma"/>
                <w:color w:val="000000" w:themeColor="text1"/>
              </w:rPr>
            </w:pPr>
            <w:r w:rsidRPr="5D9F8773">
              <w:rPr>
                <w:rFonts w:ascii="Tahoma" w:hAnsi="Tahoma" w:cs="Tahoma"/>
                <w:color w:val="000000" w:themeColor="text1"/>
              </w:rPr>
              <w:t>Gearing: Changing the definition to Net Debt expressed as a percentage of Housing Properties at Historic Cost will not exceed 50%</w:t>
            </w:r>
          </w:p>
          <w:p w14:paraId="406A49DD" w14:textId="112AC80F" w:rsidR="00475575" w:rsidRPr="00475575" w:rsidRDefault="00475575" w:rsidP="5D9F8773">
            <w:pPr>
              <w:pStyle w:val="ListParagraph"/>
              <w:widowControl/>
              <w:numPr>
                <w:ilvl w:val="0"/>
                <w:numId w:val="33"/>
              </w:numPr>
              <w:adjustRightInd/>
              <w:spacing w:line="240" w:lineRule="auto"/>
              <w:textAlignment w:val="auto"/>
              <w:rPr>
                <w:rFonts w:ascii="Tahoma" w:hAnsi="Tahoma" w:cs="Tahoma"/>
                <w:color w:val="000000" w:themeColor="text1"/>
              </w:rPr>
            </w:pPr>
            <w:r w:rsidRPr="5D9F8773">
              <w:rPr>
                <w:rFonts w:ascii="Tahoma" w:hAnsi="Tahoma" w:cs="Tahoma"/>
                <w:color w:val="000000" w:themeColor="text1"/>
              </w:rPr>
              <w:t>Asset Cover, Financial Support, and Mergers &amp; Subs - no changes proposed</w:t>
            </w:r>
          </w:p>
          <w:p w14:paraId="51AD721F" w14:textId="4AB9D661" w:rsidR="00475575" w:rsidRPr="00475575" w:rsidRDefault="00475575" w:rsidP="5D9F8773">
            <w:pPr>
              <w:pStyle w:val="ListParagraph"/>
              <w:widowControl/>
              <w:numPr>
                <w:ilvl w:val="0"/>
                <w:numId w:val="33"/>
              </w:numPr>
              <w:adjustRightInd/>
              <w:spacing w:line="240" w:lineRule="auto"/>
              <w:textAlignment w:val="auto"/>
              <w:rPr>
                <w:rFonts w:ascii="Tahoma" w:hAnsi="Tahoma" w:cs="Tahoma"/>
                <w:color w:val="000000" w:themeColor="text1"/>
              </w:rPr>
            </w:pPr>
            <w:r w:rsidRPr="5D9F8773">
              <w:rPr>
                <w:rFonts w:ascii="Tahoma" w:hAnsi="Tahoma" w:cs="Tahoma"/>
                <w:color w:val="000000" w:themeColor="text1"/>
              </w:rPr>
              <w:t>Non utilisation costs to be 40% of agreed margin</w:t>
            </w:r>
          </w:p>
          <w:p w14:paraId="05FFF1F2" w14:textId="77777777" w:rsidR="00475575" w:rsidRDefault="00475575" w:rsidP="5D9F8773">
            <w:pPr>
              <w:pStyle w:val="ListParagraph"/>
              <w:widowControl/>
              <w:numPr>
                <w:ilvl w:val="0"/>
                <w:numId w:val="33"/>
              </w:numPr>
              <w:adjustRightInd/>
              <w:spacing w:line="240" w:lineRule="auto"/>
              <w:textAlignment w:val="auto"/>
              <w:rPr>
                <w:rFonts w:ascii="Tahoma" w:hAnsi="Tahoma" w:cs="Tahoma"/>
                <w:color w:val="000000" w:themeColor="text1"/>
              </w:rPr>
            </w:pPr>
            <w:r w:rsidRPr="5D9F8773">
              <w:rPr>
                <w:rFonts w:ascii="Tahoma" w:hAnsi="Tahoma" w:cs="Tahoma"/>
                <w:color w:val="000000" w:themeColor="text1"/>
              </w:rPr>
              <w:t>Existing long term loan facilities to remain unchanged</w:t>
            </w:r>
          </w:p>
          <w:p w14:paraId="161D0ED6" w14:textId="77777777" w:rsidR="00475575" w:rsidRDefault="00475575" w:rsidP="5D9F8773">
            <w:pPr>
              <w:spacing w:line="240" w:lineRule="auto"/>
              <w:rPr>
                <w:rFonts w:ascii="Tahoma" w:hAnsi="Tahoma" w:cs="Tahoma"/>
                <w:color w:val="000000" w:themeColor="text1"/>
              </w:rPr>
            </w:pPr>
          </w:p>
          <w:p w14:paraId="5C7D095B" w14:textId="565620C5" w:rsidR="002D587D" w:rsidRDefault="00475575" w:rsidP="5D9F8773">
            <w:pPr>
              <w:spacing w:line="240" w:lineRule="auto"/>
              <w:rPr>
                <w:rFonts w:ascii="Tahoma" w:hAnsi="Tahoma" w:cs="Tahoma"/>
                <w:color w:val="000000" w:themeColor="text1"/>
              </w:rPr>
            </w:pPr>
            <w:r w:rsidRPr="5D9F8773">
              <w:rPr>
                <w:rFonts w:ascii="Tahoma" w:hAnsi="Tahoma" w:cs="Tahoma"/>
                <w:color w:val="000000" w:themeColor="text1"/>
              </w:rPr>
              <w:t>The Board noted that the proposal exceeded expectations. Following discussion with Chatham it became clear that the “big bang” approach would involve a considerable amount of work and would not result in a significant improvement compared with the new Lloyds offer which is competitive with a margin of 1%, provides guaranteed liquidity for the next 5-6 years and reduced pressure on the business plan by easing both</w:t>
            </w:r>
            <w:r w:rsidR="0024390A" w:rsidRPr="5D9F8773">
              <w:rPr>
                <w:rFonts w:ascii="Tahoma" w:hAnsi="Tahoma" w:cs="Tahoma"/>
                <w:color w:val="000000" w:themeColor="text1"/>
              </w:rPr>
              <w:t xml:space="preserve"> the interest cover and gearing </w:t>
            </w:r>
            <w:r w:rsidR="002710E8" w:rsidRPr="5D9F8773">
              <w:rPr>
                <w:rFonts w:ascii="Tahoma" w:hAnsi="Tahoma" w:cs="Tahoma"/>
                <w:color w:val="000000" w:themeColor="text1"/>
              </w:rPr>
              <w:t>covenants</w:t>
            </w:r>
            <w:r w:rsidR="0024390A" w:rsidRPr="5D9F8773">
              <w:rPr>
                <w:rFonts w:ascii="Tahoma" w:hAnsi="Tahoma" w:cs="Tahoma"/>
                <w:color w:val="000000" w:themeColor="text1"/>
              </w:rPr>
              <w:t>.</w:t>
            </w:r>
          </w:p>
          <w:p w14:paraId="5A0F1901" w14:textId="77777777" w:rsidR="0024390A" w:rsidRDefault="0024390A" w:rsidP="5D9F8773">
            <w:pPr>
              <w:spacing w:line="240" w:lineRule="auto"/>
              <w:rPr>
                <w:rFonts w:ascii="Tahoma" w:hAnsi="Tahoma" w:cs="Tahoma"/>
                <w:color w:val="000000" w:themeColor="text1"/>
              </w:rPr>
            </w:pPr>
          </w:p>
          <w:p w14:paraId="52357C58" w14:textId="77777777" w:rsidR="00DD3B3F" w:rsidRDefault="00F14AA5" w:rsidP="5D9F8773">
            <w:pPr>
              <w:spacing w:line="240" w:lineRule="auto"/>
              <w:rPr>
                <w:color w:val="000000" w:themeColor="text1"/>
              </w:rPr>
            </w:pPr>
            <w:r w:rsidRPr="5D9F8773">
              <w:rPr>
                <w:color w:val="000000" w:themeColor="text1"/>
              </w:rPr>
              <w:t>Having reviewed the different scenarios presented by GH and their effect on the Financial Business Plan the Board:</w:t>
            </w:r>
          </w:p>
          <w:p w14:paraId="615E4B62" w14:textId="77777777" w:rsidR="00F14AA5" w:rsidRDefault="00F14AA5" w:rsidP="5D9F8773">
            <w:pPr>
              <w:spacing w:line="240" w:lineRule="auto"/>
              <w:rPr>
                <w:b/>
                <w:bCs/>
                <w:color w:val="000000" w:themeColor="text1"/>
              </w:rPr>
            </w:pPr>
          </w:p>
          <w:p w14:paraId="1DD9320F" w14:textId="5CC22D7E" w:rsidR="00F14AA5" w:rsidRPr="0024390A" w:rsidRDefault="00F14AA5" w:rsidP="5D9F8773">
            <w:pPr>
              <w:pStyle w:val="ListParagraph"/>
              <w:numPr>
                <w:ilvl w:val="0"/>
                <w:numId w:val="34"/>
              </w:numPr>
              <w:spacing w:line="240" w:lineRule="auto"/>
              <w:rPr>
                <w:rFonts w:ascii="Tahoma" w:eastAsia="Tahoma" w:hAnsi="Tahoma" w:cs="Tahoma"/>
                <w:b/>
                <w:bCs/>
                <w:color w:val="000000" w:themeColor="text1"/>
              </w:rPr>
            </w:pPr>
            <w:r w:rsidRPr="5D9F8773">
              <w:rPr>
                <w:rFonts w:ascii="Tahoma" w:eastAsia="Tahoma" w:hAnsi="Tahoma" w:cs="Tahoma"/>
                <w:b/>
                <w:bCs/>
                <w:color w:val="000000" w:themeColor="text1"/>
              </w:rPr>
              <w:t>Agreed that Osprey should access additional funding to increase the level of development to build a possible 370 homes by 2025.</w:t>
            </w:r>
          </w:p>
          <w:p w14:paraId="5B87B31A" w14:textId="05EC1F7E" w:rsidR="00F14AA5" w:rsidRPr="0024390A" w:rsidRDefault="00F14AA5" w:rsidP="5D9F8773">
            <w:pPr>
              <w:pStyle w:val="ListParagraph"/>
              <w:numPr>
                <w:ilvl w:val="0"/>
                <w:numId w:val="34"/>
              </w:numPr>
              <w:spacing w:line="240" w:lineRule="auto"/>
              <w:rPr>
                <w:rFonts w:ascii="Tahoma" w:eastAsia="Tahoma" w:hAnsi="Tahoma" w:cs="Tahoma"/>
                <w:b/>
                <w:bCs/>
                <w:color w:val="000000" w:themeColor="text1"/>
              </w:rPr>
            </w:pPr>
            <w:r w:rsidRPr="5D9F8773">
              <w:rPr>
                <w:rFonts w:ascii="Tahoma" w:eastAsia="Tahoma" w:hAnsi="Tahoma" w:cs="Tahoma"/>
                <w:b/>
                <w:bCs/>
                <w:color w:val="000000" w:themeColor="text1"/>
              </w:rPr>
              <w:t>Agreed to enter into an agreement with Lloyds for an additional RCF of £12.5M on the terms highlighted in the TM report.</w:t>
            </w:r>
          </w:p>
          <w:p w14:paraId="4E80CF2F" w14:textId="17565048" w:rsidR="00F14AA5" w:rsidRPr="0024390A" w:rsidRDefault="00F14AA5" w:rsidP="5D9F8773">
            <w:pPr>
              <w:pStyle w:val="ListParagraph"/>
              <w:numPr>
                <w:ilvl w:val="0"/>
                <w:numId w:val="34"/>
              </w:numPr>
              <w:spacing w:line="240" w:lineRule="auto"/>
              <w:rPr>
                <w:rFonts w:ascii="Tahoma" w:eastAsia="Tahoma" w:hAnsi="Tahoma" w:cs="Tahoma"/>
                <w:b/>
                <w:bCs/>
                <w:color w:val="000000" w:themeColor="text1"/>
              </w:rPr>
            </w:pPr>
            <w:r w:rsidRPr="5D9F8773">
              <w:rPr>
                <w:rFonts w:ascii="Tahoma" w:eastAsia="Tahoma" w:hAnsi="Tahoma" w:cs="Tahoma"/>
                <w:b/>
                <w:bCs/>
                <w:color w:val="000000" w:themeColor="text1"/>
              </w:rPr>
              <w:t>Agreed that the existing separate RCFs of £5M and £7.5M be amalgamated into a single £12.5M on the reduced margin of 100bps</w:t>
            </w:r>
          </w:p>
          <w:p w14:paraId="65529918" w14:textId="3FF02909" w:rsidR="00F14AA5" w:rsidRPr="0024390A" w:rsidRDefault="00F14AA5" w:rsidP="5D9F8773">
            <w:pPr>
              <w:pStyle w:val="ListParagraph"/>
              <w:numPr>
                <w:ilvl w:val="0"/>
                <w:numId w:val="34"/>
              </w:numPr>
              <w:spacing w:line="240" w:lineRule="auto"/>
              <w:rPr>
                <w:rFonts w:ascii="Tahoma" w:eastAsia="Tahoma" w:hAnsi="Tahoma" w:cs="Tahoma"/>
                <w:b/>
                <w:bCs/>
                <w:color w:val="000000" w:themeColor="text1"/>
              </w:rPr>
            </w:pPr>
            <w:r w:rsidRPr="5D9F8773">
              <w:rPr>
                <w:rFonts w:ascii="Tahoma" w:eastAsia="Tahoma" w:hAnsi="Tahoma" w:cs="Tahoma"/>
                <w:b/>
                <w:bCs/>
                <w:color w:val="000000" w:themeColor="text1"/>
              </w:rPr>
              <w:t>Agreed the new covenant definitions as stated in the TM report</w:t>
            </w:r>
          </w:p>
          <w:p w14:paraId="0C40A7CF" w14:textId="2E7320C1" w:rsidR="00F14AA5" w:rsidRPr="0024390A" w:rsidRDefault="00F14AA5" w:rsidP="5D9F8773">
            <w:pPr>
              <w:pStyle w:val="ListParagraph"/>
              <w:numPr>
                <w:ilvl w:val="0"/>
                <w:numId w:val="34"/>
              </w:numPr>
              <w:spacing w:line="240" w:lineRule="auto"/>
              <w:rPr>
                <w:rFonts w:ascii="Tahoma" w:eastAsia="Tahoma" w:hAnsi="Tahoma" w:cs="Tahoma"/>
                <w:b/>
                <w:bCs/>
                <w:color w:val="000000" w:themeColor="text1"/>
              </w:rPr>
            </w:pPr>
            <w:r w:rsidRPr="5D9F8773">
              <w:rPr>
                <w:rFonts w:ascii="Tahoma" w:eastAsia="Tahoma" w:hAnsi="Tahoma" w:cs="Tahoma"/>
                <w:b/>
                <w:bCs/>
                <w:color w:val="000000" w:themeColor="text1"/>
              </w:rPr>
              <w:t>Agreed the arrangement fee structure as outlined in the TM report</w:t>
            </w:r>
          </w:p>
          <w:p w14:paraId="6D919634" w14:textId="7FD2D72C" w:rsidR="00F14AA5" w:rsidRPr="0024390A" w:rsidRDefault="00F14AA5" w:rsidP="5D9F8773">
            <w:pPr>
              <w:pStyle w:val="ListParagraph"/>
              <w:numPr>
                <w:ilvl w:val="0"/>
                <w:numId w:val="34"/>
              </w:numPr>
              <w:spacing w:line="240" w:lineRule="auto"/>
              <w:rPr>
                <w:rFonts w:ascii="Tahoma" w:eastAsia="Tahoma" w:hAnsi="Tahoma" w:cs="Tahoma"/>
                <w:b/>
                <w:bCs/>
                <w:color w:val="000000" w:themeColor="text1"/>
              </w:rPr>
            </w:pPr>
            <w:r w:rsidRPr="5D9F8773">
              <w:rPr>
                <w:rFonts w:ascii="Tahoma" w:eastAsia="Tahoma" w:hAnsi="Tahoma" w:cs="Tahoma"/>
                <w:b/>
                <w:bCs/>
                <w:color w:val="000000" w:themeColor="text1"/>
              </w:rPr>
              <w:t>Agreed the non-utilisation fees as outlined in the TM report</w:t>
            </w:r>
          </w:p>
          <w:p w14:paraId="3E6AA041" w14:textId="1860D228" w:rsidR="00F14AA5" w:rsidRPr="0024390A" w:rsidRDefault="00F14AA5" w:rsidP="5D9F8773">
            <w:pPr>
              <w:pStyle w:val="ListParagraph"/>
              <w:numPr>
                <w:ilvl w:val="0"/>
                <w:numId w:val="34"/>
              </w:numPr>
              <w:spacing w:line="240" w:lineRule="auto"/>
              <w:rPr>
                <w:rFonts w:ascii="Tahoma" w:eastAsia="Tahoma" w:hAnsi="Tahoma" w:cs="Tahoma"/>
                <w:b/>
                <w:bCs/>
                <w:color w:val="000000" w:themeColor="text1"/>
              </w:rPr>
            </w:pPr>
            <w:r w:rsidRPr="5D9F8773">
              <w:rPr>
                <w:rFonts w:ascii="Tahoma" w:eastAsia="Tahoma" w:hAnsi="Tahoma" w:cs="Tahoma"/>
                <w:b/>
                <w:bCs/>
                <w:color w:val="000000" w:themeColor="text1"/>
              </w:rPr>
              <w:t>Agreed the terms of the RCFs be set at 5+1+1 years</w:t>
            </w:r>
          </w:p>
          <w:p w14:paraId="556AF6E9" w14:textId="2FA67195" w:rsidR="00F14AA5" w:rsidRPr="0024390A" w:rsidRDefault="00F14AA5" w:rsidP="5D9F8773">
            <w:pPr>
              <w:pStyle w:val="ListParagraph"/>
              <w:numPr>
                <w:ilvl w:val="0"/>
                <w:numId w:val="34"/>
              </w:numPr>
              <w:spacing w:line="240" w:lineRule="auto"/>
              <w:rPr>
                <w:rFonts w:ascii="Tahoma" w:eastAsia="Tahoma" w:hAnsi="Tahoma" w:cs="Tahoma"/>
                <w:b/>
                <w:bCs/>
                <w:color w:val="000000" w:themeColor="text1"/>
              </w:rPr>
            </w:pPr>
            <w:r w:rsidRPr="5D9F8773">
              <w:rPr>
                <w:rFonts w:ascii="Tahoma" w:eastAsia="Tahoma" w:hAnsi="Tahoma" w:cs="Tahoma"/>
                <w:b/>
                <w:bCs/>
                <w:color w:val="000000" w:themeColor="text1"/>
              </w:rPr>
              <w:t>Noted the conversion of the Nationwide loans to SONIA</w:t>
            </w:r>
          </w:p>
          <w:p w14:paraId="1F601BE0" w14:textId="041D9E1D" w:rsidR="00F14AA5" w:rsidRDefault="00F14AA5" w:rsidP="5D9F8773">
            <w:pPr>
              <w:pStyle w:val="ListParagraph"/>
              <w:numPr>
                <w:ilvl w:val="0"/>
                <w:numId w:val="34"/>
              </w:numPr>
              <w:spacing w:line="240" w:lineRule="auto"/>
              <w:rPr>
                <w:rFonts w:ascii="Tahoma" w:eastAsia="Tahoma" w:hAnsi="Tahoma" w:cs="Tahoma"/>
                <w:b/>
                <w:bCs/>
                <w:color w:val="000000" w:themeColor="text1"/>
              </w:rPr>
            </w:pPr>
            <w:r w:rsidRPr="5D9F8773">
              <w:rPr>
                <w:rFonts w:ascii="Tahoma" w:eastAsia="Tahoma" w:hAnsi="Tahoma" w:cs="Tahoma"/>
                <w:b/>
                <w:bCs/>
                <w:color w:val="000000" w:themeColor="text1"/>
              </w:rPr>
              <w:t>Agreed the recommendation that OH should open discussions with Nationwide to c</w:t>
            </w:r>
            <w:r w:rsidR="0024390A" w:rsidRPr="5D9F8773">
              <w:rPr>
                <w:rFonts w:ascii="Tahoma" w:eastAsia="Tahoma" w:hAnsi="Tahoma" w:cs="Tahoma"/>
                <w:b/>
                <w:bCs/>
                <w:color w:val="000000" w:themeColor="text1"/>
              </w:rPr>
              <w:t>o</w:t>
            </w:r>
            <w:r w:rsidRPr="5D9F8773">
              <w:rPr>
                <w:rFonts w:ascii="Tahoma" w:eastAsia="Tahoma" w:hAnsi="Tahoma" w:cs="Tahoma"/>
                <w:b/>
                <w:bCs/>
                <w:color w:val="000000" w:themeColor="text1"/>
              </w:rPr>
              <w:t>nvert the outstanding variable rate debt to a fixed rate loan.</w:t>
            </w:r>
          </w:p>
          <w:p w14:paraId="61B346E8" w14:textId="77777777" w:rsidR="0024390A" w:rsidRDefault="0024390A" w:rsidP="5D9F8773">
            <w:pPr>
              <w:spacing w:line="240" w:lineRule="auto"/>
              <w:rPr>
                <w:rFonts w:ascii="Tahoma" w:eastAsia="Tahoma" w:hAnsi="Tahoma" w:cs="Tahoma"/>
                <w:b/>
                <w:bCs/>
                <w:color w:val="000000" w:themeColor="text1"/>
              </w:rPr>
            </w:pPr>
          </w:p>
          <w:p w14:paraId="6C0AD0C5" w14:textId="090446D2" w:rsidR="0024390A" w:rsidRPr="0024390A" w:rsidRDefault="0024390A" w:rsidP="5D9F8773">
            <w:pPr>
              <w:spacing w:line="240" w:lineRule="auto"/>
              <w:rPr>
                <w:rFonts w:ascii="Tahoma" w:eastAsia="Tahoma" w:hAnsi="Tahoma" w:cs="Tahoma"/>
                <w:b/>
                <w:bCs/>
                <w:color w:val="000000" w:themeColor="text1"/>
              </w:rPr>
            </w:pPr>
            <w:r w:rsidRPr="5D9F8773">
              <w:rPr>
                <w:rFonts w:ascii="Tahoma" w:eastAsia="Tahoma" w:hAnsi="Tahoma" w:cs="Tahoma"/>
                <w:b/>
                <w:bCs/>
                <w:color w:val="000000" w:themeColor="text1"/>
              </w:rPr>
              <w:lastRenderedPageBreak/>
              <w:t xml:space="preserve">This was proposed by RH and seconded by LA </w:t>
            </w:r>
          </w:p>
          <w:p w14:paraId="2ED4E2BB" w14:textId="2A69615C" w:rsidR="00F14AA5" w:rsidRDefault="00F14AA5" w:rsidP="5D9F8773">
            <w:pPr>
              <w:spacing w:line="240" w:lineRule="auto"/>
              <w:rPr>
                <w:b/>
                <w:bCs/>
                <w:color w:val="000000" w:themeColor="text1"/>
              </w:rPr>
            </w:pPr>
          </w:p>
        </w:tc>
        <w:tc>
          <w:tcPr>
            <w:tcW w:w="1331" w:type="dxa"/>
            <w:tcBorders>
              <w:bottom w:val="single" w:sz="4" w:space="0" w:color="auto"/>
            </w:tcBorders>
            <w:shd w:val="clear" w:color="auto" w:fill="auto"/>
          </w:tcPr>
          <w:p w14:paraId="5F126149" w14:textId="77777777" w:rsidR="15429A43" w:rsidRDefault="15429A43" w:rsidP="003607CF">
            <w:pPr>
              <w:spacing w:line="240" w:lineRule="auto"/>
              <w:jc w:val="left"/>
              <w:rPr>
                <w:rFonts w:ascii="Tahoma" w:eastAsia="Tahoma" w:hAnsi="Tahoma" w:cs="Tahoma"/>
                <w:b/>
                <w:bCs/>
                <w:color w:val="000000" w:themeColor="text1"/>
              </w:rPr>
            </w:pPr>
          </w:p>
          <w:p w14:paraId="4A5A8A1C" w14:textId="77777777" w:rsidR="00F14AA5" w:rsidRDefault="00F14AA5" w:rsidP="003607CF">
            <w:pPr>
              <w:spacing w:line="240" w:lineRule="auto"/>
              <w:jc w:val="left"/>
              <w:rPr>
                <w:rFonts w:ascii="Tahoma" w:eastAsia="Tahoma" w:hAnsi="Tahoma" w:cs="Tahoma"/>
                <w:b/>
                <w:bCs/>
                <w:color w:val="000000" w:themeColor="text1"/>
              </w:rPr>
            </w:pPr>
          </w:p>
          <w:p w14:paraId="7D7F80F4" w14:textId="29BF3B14" w:rsidR="00F14AA5" w:rsidRDefault="00F14AA5" w:rsidP="003607CF">
            <w:pPr>
              <w:spacing w:line="240" w:lineRule="auto"/>
              <w:jc w:val="left"/>
              <w:rPr>
                <w:rFonts w:ascii="Tahoma" w:eastAsia="Tahoma" w:hAnsi="Tahoma" w:cs="Tahoma"/>
                <w:b/>
                <w:bCs/>
                <w:color w:val="000000" w:themeColor="text1"/>
              </w:rPr>
            </w:pPr>
            <w:r>
              <w:rPr>
                <w:rFonts w:ascii="Tahoma" w:eastAsia="Tahoma" w:hAnsi="Tahoma" w:cs="Tahoma"/>
                <w:b/>
                <w:bCs/>
                <w:color w:val="000000" w:themeColor="text1"/>
              </w:rPr>
              <w:t>DF</w:t>
            </w:r>
          </w:p>
        </w:tc>
      </w:tr>
      <w:tr w:rsidR="7A3C8C62" w14:paraId="157FC247" w14:textId="77777777" w:rsidTr="5522084D">
        <w:trPr>
          <w:trHeight w:val="247"/>
          <w:tblHeader/>
        </w:trPr>
        <w:tc>
          <w:tcPr>
            <w:tcW w:w="1306" w:type="dxa"/>
            <w:tcBorders>
              <w:bottom w:val="single" w:sz="4" w:space="0" w:color="auto"/>
            </w:tcBorders>
            <w:shd w:val="clear" w:color="auto" w:fill="auto"/>
          </w:tcPr>
          <w:p w14:paraId="67D4A2B1" w14:textId="039D033E" w:rsidR="15429A43" w:rsidRDefault="00B8604F" w:rsidP="5D9F8773">
            <w:pPr>
              <w:spacing w:line="240" w:lineRule="auto"/>
              <w:rPr>
                <w:rFonts w:ascii="Tahoma" w:eastAsia="Tahoma" w:hAnsi="Tahoma" w:cs="Tahoma"/>
                <w:b/>
                <w:bCs/>
                <w:color w:val="000000" w:themeColor="text1"/>
              </w:rPr>
            </w:pPr>
            <w:r w:rsidRPr="5D9F8773">
              <w:rPr>
                <w:rFonts w:ascii="Tahoma" w:eastAsia="Tahoma" w:hAnsi="Tahoma" w:cs="Tahoma"/>
                <w:b/>
                <w:bCs/>
                <w:color w:val="000000" w:themeColor="text1"/>
              </w:rPr>
              <w:lastRenderedPageBreak/>
              <w:t>4.2</w:t>
            </w:r>
          </w:p>
        </w:tc>
        <w:tc>
          <w:tcPr>
            <w:tcW w:w="6606" w:type="dxa"/>
            <w:tcBorders>
              <w:bottom w:val="single" w:sz="4" w:space="0" w:color="auto"/>
            </w:tcBorders>
            <w:shd w:val="clear" w:color="auto" w:fill="auto"/>
            <w:vAlign w:val="center"/>
          </w:tcPr>
          <w:p w14:paraId="6462E16B" w14:textId="17D78F0A" w:rsidR="15429A43" w:rsidRDefault="00B8604F" w:rsidP="5D9F8773">
            <w:pPr>
              <w:tabs>
                <w:tab w:val="left" w:pos="567"/>
              </w:tabs>
              <w:spacing w:line="240" w:lineRule="auto"/>
              <w:rPr>
                <w:rFonts w:ascii="Tahoma" w:hAnsi="Tahoma" w:cs="Tahoma"/>
                <w:b/>
                <w:bCs/>
                <w:color w:val="000000" w:themeColor="text1"/>
              </w:rPr>
            </w:pPr>
            <w:r w:rsidRPr="5D9F8773">
              <w:rPr>
                <w:rFonts w:ascii="Tahoma" w:hAnsi="Tahoma" w:cs="Tahoma"/>
                <w:b/>
                <w:bCs/>
                <w:color w:val="000000" w:themeColor="text1"/>
              </w:rPr>
              <w:t>Rent Increase 2022/23</w:t>
            </w:r>
          </w:p>
          <w:p w14:paraId="43972369" w14:textId="003F92DA" w:rsidR="00B8604F" w:rsidRDefault="00B8604F" w:rsidP="5D9F8773">
            <w:pPr>
              <w:tabs>
                <w:tab w:val="left" w:pos="567"/>
              </w:tabs>
              <w:spacing w:line="240" w:lineRule="auto"/>
              <w:rPr>
                <w:rFonts w:ascii="Tahoma" w:hAnsi="Tahoma" w:cs="Tahoma"/>
                <w:color w:val="000000" w:themeColor="text1"/>
              </w:rPr>
            </w:pPr>
          </w:p>
          <w:p w14:paraId="21F16647" w14:textId="66727FD1" w:rsidR="00B8604F" w:rsidRDefault="00B8604F" w:rsidP="5D9F8773">
            <w:pPr>
              <w:tabs>
                <w:tab w:val="left" w:pos="567"/>
              </w:tabs>
              <w:spacing w:line="240" w:lineRule="auto"/>
              <w:rPr>
                <w:rFonts w:ascii="Tahoma" w:hAnsi="Tahoma" w:cs="Tahoma"/>
                <w:color w:val="000000" w:themeColor="text1"/>
              </w:rPr>
            </w:pPr>
            <w:r w:rsidRPr="5D9F8773">
              <w:rPr>
                <w:rFonts w:ascii="Tahoma" w:hAnsi="Tahoma" w:cs="Tahoma"/>
                <w:color w:val="000000" w:themeColor="text1"/>
              </w:rPr>
              <w:t>The presentation from GH included affordability modelling of three different rent increase options:</w:t>
            </w:r>
          </w:p>
          <w:p w14:paraId="39432918" w14:textId="284D3E01" w:rsidR="00B8604F" w:rsidRPr="007429DC" w:rsidRDefault="00B8604F" w:rsidP="5D9F8773">
            <w:pPr>
              <w:pStyle w:val="ListParagraph"/>
              <w:numPr>
                <w:ilvl w:val="0"/>
                <w:numId w:val="40"/>
              </w:numPr>
              <w:tabs>
                <w:tab w:val="left" w:pos="567"/>
              </w:tabs>
              <w:spacing w:line="240" w:lineRule="auto"/>
              <w:rPr>
                <w:rFonts w:ascii="Tahoma" w:hAnsi="Tahoma" w:cs="Tahoma"/>
                <w:color w:val="000000" w:themeColor="text1"/>
              </w:rPr>
            </w:pPr>
            <w:r w:rsidRPr="5D9F8773">
              <w:rPr>
                <w:rFonts w:ascii="Tahoma" w:hAnsi="Tahoma" w:cs="Tahoma"/>
                <w:color w:val="000000" w:themeColor="text1"/>
              </w:rPr>
              <w:t>3.1% (September CPI as per Osprey rent setting policy)</w:t>
            </w:r>
          </w:p>
          <w:p w14:paraId="0A4FEB9D" w14:textId="3255C1D5" w:rsidR="00B8604F" w:rsidRPr="007429DC" w:rsidRDefault="00B8604F" w:rsidP="5D9F8773">
            <w:pPr>
              <w:pStyle w:val="ListParagraph"/>
              <w:numPr>
                <w:ilvl w:val="0"/>
                <w:numId w:val="40"/>
              </w:numPr>
              <w:tabs>
                <w:tab w:val="left" w:pos="567"/>
              </w:tabs>
              <w:spacing w:line="240" w:lineRule="auto"/>
              <w:rPr>
                <w:rFonts w:ascii="Tahoma" w:hAnsi="Tahoma" w:cs="Tahoma"/>
                <w:color w:val="000000" w:themeColor="text1"/>
              </w:rPr>
            </w:pPr>
            <w:r w:rsidRPr="5D9F8773">
              <w:rPr>
                <w:rFonts w:ascii="Tahoma" w:hAnsi="Tahoma" w:cs="Tahoma"/>
                <w:color w:val="000000" w:themeColor="text1"/>
              </w:rPr>
              <w:t>2.1%</w:t>
            </w:r>
          </w:p>
          <w:p w14:paraId="1EF9D28F" w14:textId="7715C774" w:rsidR="00B8604F" w:rsidRPr="007429DC" w:rsidRDefault="00685374" w:rsidP="5D9F8773">
            <w:pPr>
              <w:pStyle w:val="ListParagraph"/>
              <w:numPr>
                <w:ilvl w:val="0"/>
                <w:numId w:val="40"/>
              </w:numPr>
              <w:tabs>
                <w:tab w:val="left" w:pos="567"/>
              </w:tabs>
              <w:spacing w:line="240" w:lineRule="auto"/>
              <w:rPr>
                <w:rFonts w:ascii="Tahoma" w:hAnsi="Tahoma" w:cs="Tahoma"/>
                <w:color w:val="000000" w:themeColor="text1"/>
              </w:rPr>
            </w:pPr>
            <w:r w:rsidRPr="5D9F8773">
              <w:rPr>
                <w:rFonts w:ascii="Tahoma" w:hAnsi="Tahoma" w:cs="Tahoma"/>
                <w:color w:val="000000" w:themeColor="text1"/>
              </w:rPr>
              <w:t>0%</w:t>
            </w:r>
          </w:p>
          <w:p w14:paraId="1991A1E2" w14:textId="02FC0E95" w:rsidR="00685374" w:rsidRDefault="00685374" w:rsidP="5D9F8773">
            <w:pPr>
              <w:tabs>
                <w:tab w:val="left" w:pos="567"/>
              </w:tabs>
              <w:spacing w:line="240" w:lineRule="auto"/>
              <w:rPr>
                <w:rFonts w:ascii="Tahoma" w:hAnsi="Tahoma" w:cs="Tahoma"/>
                <w:color w:val="000000" w:themeColor="text1"/>
              </w:rPr>
            </w:pPr>
          </w:p>
          <w:p w14:paraId="1AC81571" w14:textId="7F1D5BF4" w:rsidR="00685374" w:rsidRDefault="00685374" w:rsidP="5D9F8773">
            <w:pPr>
              <w:tabs>
                <w:tab w:val="left" w:pos="567"/>
              </w:tabs>
              <w:spacing w:line="240" w:lineRule="auto"/>
              <w:rPr>
                <w:rFonts w:ascii="Tahoma" w:hAnsi="Tahoma" w:cs="Tahoma"/>
                <w:color w:val="000000" w:themeColor="text1"/>
              </w:rPr>
            </w:pPr>
            <w:r w:rsidRPr="5D9F8773">
              <w:rPr>
                <w:rFonts w:ascii="Tahoma" w:hAnsi="Tahoma" w:cs="Tahoma"/>
                <w:color w:val="000000" w:themeColor="text1"/>
              </w:rPr>
              <w:t xml:space="preserve">The scenario modelling showed that all options were affordable. The Board noted that Osprey rent levels are above our local peer organisations </w:t>
            </w:r>
            <w:r w:rsidR="00930C5F" w:rsidRPr="5D9F8773">
              <w:rPr>
                <w:rFonts w:ascii="Tahoma" w:hAnsi="Tahoma" w:cs="Tahoma"/>
                <w:color w:val="000000" w:themeColor="text1"/>
              </w:rPr>
              <w:t>and</w:t>
            </w:r>
            <w:r w:rsidRPr="5D9F8773">
              <w:rPr>
                <w:rFonts w:ascii="Tahoma" w:hAnsi="Tahoma" w:cs="Tahoma"/>
                <w:color w:val="000000" w:themeColor="text1"/>
              </w:rPr>
              <w:t xml:space="preserve"> that a rent freeze would reduce the gap. </w:t>
            </w:r>
          </w:p>
          <w:p w14:paraId="183332F8" w14:textId="7F37082A" w:rsidR="00685374" w:rsidRDefault="00685374" w:rsidP="5D9F8773">
            <w:pPr>
              <w:tabs>
                <w:tab w:val="left" w:pos="567"/>
              </w:tabs>
              <w:spacing w:line="240" w:lineRule="auto"/>
              <w:rPr>
                <w:rFonts w:ascii="Tahoma" w:hAnsi="Tahoma" w:cs="Tahoma"/>
                <w:color w:val="000000" w:themeColor="text1"/>
              </w:rPr>
            </w:pPr>
          </w:p>
          <w:p w14:paraId="7D413CAC" w14:textId="67D1ACF1" w:rsidR="00685374" w:rsidRPr="00705E7C" w:rsidRDefault="00685374" w:rsidP="5D9F8773">
            <w:pPr>
              <w:tabs>
                <w:tab w:val="left" w:pos="567"/>
              </w:tabs>
              <w:spacing w:line="240" w:lineRule="auto"/>
              <w:rPr>
                <w:rFonts w:ascii="Tahoma" w:hAnsi="Tahoma" w:cs="Tahoma"/>
                <w:b/>
                <w:bCs/>
                <w:color w:val="000000" w:themeColor="text1"/>
              </w:rPr>
            </w:pPr>
            <w:r w:rsidRPr="5D9F8773">
              <w:rPr>
                <w:rFonts w:ascii="Tahoma" w:hAnsi="Tahoma" w:cs="Tahoma"/>
                <w:b/>
                <w:bCs/>
                <w:color w:val="000000" w:themeColor="text1"/>
              </w:rPr>
              <w:t>The Board:</w:t>
            </w:r>
          </w:p>
          <w:p w14:paraId="780D12C7" w14:textId="32549E19" w:rsidR="00685374" w:rsidRPr="00705E7C" w:rsidRDefault="00685374" w:rsidP="5D9F8773">
            <w:pPr>
              <w:pStyle w:val="ListParagraph"/>
              <w:numPr>
                <w:ilvl w:val="0"/>
                <w:numId w:val="35"/>
              </w:numPr>
              <w:tabs>
                <w:tab w:val="left" w:pos="567"/>
              </w:tabs>
              <w:spacing w:line="240" w:lineRule="auto"/>
              <w:rPr>
                <w:rFonts w:ascii="Tahoma" w:hAnsi="Tahoma" w:cs="Tahoma"/>
                <w:b/>
                <w:bCs/>
                <w:color w:val="000000" w:themeColor="text1"/>
              </w:rPr>
            </w:pPr>
            <w:r w:rsidRPr="5D9F8773">
              <w:rPr>
                <w:rFonts w:ascii="Tahoma" w:hAnsi="Tahoma" w:cs="Tahoma"/>
                <w:b/>
                <w:bCs/>
                <w:color w:val="000000" w:themeColor="text1"/>
              </w:rPr>
              <w:t xml:space="preserve">Considered the </w:t>
            </w:r>
            <w:r w:rsidR="003607CF" w:rsidRPr="5D9F8773">
              <w:rPr>
                <w:rFonts w:ascii="Tahoma" w:hAnsi="Tahoma" w:cs="Tahoma"/>
                <w:b/>
                <w:bCs/>
                <w:color w:val="000000" w:themeColor="text1"/>
              </w:rPr>
              <w:t>medium-term</w:t>
            </w:r>
            <w:r w:rsidRPr="5D9F8773">
              <w:rPr>
                <w:rFonts w:ascii="Tahoma" w:hAnsi="Tahoma" w:cs="Tahoma"/>
                <w:b/>
                <w:bCs/>
                <w:color w:val="000000" w:themeColor="text1"/>
              </w:rPr>
              <w:t xml:space="preserve"> affordability impact of each option.</w:t>
            </w:r>
          </w:p>
          <w:p w14:paraId="13E8589B" w14:textId="40FD761E" w:rsidR="00685374" w:rsidRPr="00705E7C" w:rsidRDefault="00685374" w:rsidP="5D9F8773">
            <w:pPr>
              <w:pStyle w:val="ListParagraph"/>
              <w:numPr>
                <w:ilvl w:val="0"/>
                <w:numId w:val="35"/>
              </w:numPr>
              <w:tabs>
                <w:tab w:val="left" w:pos="567"/>
              </w:tabs>
              <w:spacing w:line="240" w:lineRule="auto"/>
              <w:rPr>
                <w:rFonts w:ascii="Tahoma" w:hAnsi="Tahoma" w:cs="Tahoma"/>
                <w:b/>
                <w:bCs/>
                <w:color w:val="000000" w:themeColor="text1"/>
              </w:rPr>
            </w:pPr>
            <w:r w:rsidRPr="5D9F8773">
              <w:rPr>
                <w:rFonts w:ascii="Tahoma" w:hAnsi="Tahoma" w:cs="Tahoma"/>
                <w:b/>
                <w:bCs/>
                <w:color w:val="000000" w:themeColor="text1"/>
              </w:rPr>
              <w:t>Gained an understanding of the current position of Osprey rents compared to the sector and affordability levels</w:t>
            </w:r>
          </w:p>
          <w:p w14:paraId="56A93610" w14:textId="4CA4D171" w:rsidR="00685374" w:rsidRPr="00705E7C" w:rsidRDefault="00685374" w:rsidP="5D9F8773">
            <w:pPr>
              <w:pStyle w:val="ListParagraph"/>
              <w:numPr>
                <w:ilvl w:val="0"/>
                <w:numId w:val="35"/>
              </w:numPr>
              <w:tabs>
                <w:tab w:val="left" w:pos="567"/>
              </w:tabs>
              <w:spacing w:line="240" w:lineRule="auto"/>
              <w:rPr>
                <w:rFonts w:ascii="Tahoma" w:hAnsi="Tahoma" w:cs="Tahoma"/>
                <w:b/>
                <w:bCs/>
                <w:color w:val="000000" w:themeColor="text1"/>
              </w:rPr>
            </w:pPr>
            <w:r w:rsidRPr="5D9F8773">
              <w:rPr>
                <w:rFonts w:ascii="Tahoma" w:hAnsi="Tahoma" w:cs="Tahoma"/>
                <w:b/>
                <w:bCs/>
                <w:color w:val="000000" w:themeColor="text1"/>
              </w:rPr>
              <w:t>Understood the strong regulatory focus on affordability of rents</w:t>
            </w:r>
          </w:p>
          <w:p w14:paraId="0E162B9F" w14:textId="039434DA" w:rsidR="00685374" w:rsidRPr="00705E7C" w:rsidRDefault="00685374" w:rsidP="5D9F8773">
            <w:pPr>
              <w:tabs>
                <w:tab w:val="left" w:pos="567"/>
              </w:tabs>
              <w:spacing w:line="240" w:lineRule="auto"/>
              <w:rPr>
                <w:rFonts w:ascii="Tahoma" w:hAnsi="Tahoma" w:cs="Tahoma"/>
                <w:b/>
                <w:bCs/>
                <w:color w:val="000000" w:themeColor="text1"/>
              </w:rPr>
            </w:pPr>
          </w:p>
          <w:p w14:paraId="67BC4A9D" w14:textId="22A68903" w:rsidR="00685374" w:rsidRPr="00705E7C" w:rsidRDefault="00685374" w:rsidP="5D9F8773">
            <w:pPr>
              <w:tabs>
                <w:tab w:val="left" w:pos="567"/>
              </w:tabs>
              <w:spacing w:line="240" w:lineRule="auto"/>
              <w:rPr>
                <w:rFonts w:ascii="Tahoma" w:hAnsi="Tahoma" w:cs="Tahoma"/>
                <w:b/>
                <w:bCs/>
                <w:color w:val="000000" w:themeColor="text1"/>
              </w:rPr>
            </w:pPr>
            <w:r w:rsidRPr="5D9F8773">
              <w:rPr>
                <w:rFonts w:ascii="Tahoma" w:hAnsi="Tahoma" w:cs="Tahoma"/>
                <w:b/>
                <w:bCs/>
                <w:color w:val="000000" w:themeColor="text1"/>
              </w:rPr>
              <w:t>Having considered the above the Board:</w:t>
            </w:r>
          </w:p>
          <w:p w14:paraId="67240428" w14:textId="3B3DF089" w:rsidR="00685374" w:rsidRPr="00705E7C" w:rsidRDefault="00705E7C" w:rsidP="5D9F8773">
            <w:pPr>
              <w:pStyle w:val="ListParagraph"/>
              <w:numPr>
                <w:ilvl w:val="0"/>
                <w:numId w:val="36"/>
              </w:numPr>
              <w:tabs>
                <w:tab w:val="left" w:pos="567"/>
              </w:tabs>
              <w:spacing w:line="240" w:lineRule="auto"/>
              <w:rPr>
                <w:rFonts w:ascii="Tahoma" w:hAnsi="Tahoma" w:cs="Tahoma"/>
                <w:b/>
                <w:bCs/>
                <w:color w:val="000000" w:themeColor="text1"/>
              </w:rPr>
            </w:pPr>
            <w:r w:rsidRPr="5D9F8773">
              <w:rPr>
                <w:rFonts w:ascii="Tahoma" w:hAnsi="Tahoma" w:cs="Tahoma"/>
                <w:b/>
                <w:bCs/>
                <w:color w:val="000000" w:themeColor="text1"/>
              </w:rPr>
              <w:t>Approved a rent freeze for the year 2022/23. This was proposed by LA and seconded by BW.</w:t>
            </w:r>
          </w:p>
          <w:p w14:paraId="5B48DE9B" w14:textId="4EB9A39A" w:rsidR="7A3C8C62" w:rsidRDefault="7A3C8C62" w:rsidP="5D9F8773">
            <w:pPr>
              <w:spacing w:line="240" w:lineRule="auto"/>
              <w:rPr>
                <w:b/>
                <w:bCs/>
                <w:color w:val="000000" w:themeColor="text1"/>
              </w:rPr>
            </w:pPr>
          </w:p>
        </w:tc>
        <w:tc>
          <w:tcPr>
            <w:tcW w:w="1331" w:type="dxa"/>
            <w:tcBorders>
              <w:bottom w:val="single" w:sz="4" w:space="0" w:color="auto"/>
            </w:tcBorders>
            <w:shd w:val="clear" w:color="auto" w:fill="auto"/>
          </w:tcPr>
          <w:p w14:paraId="19C09BAA" w14:textId="28D782F3" w:rsidR="15429A43" w:rsidRDefault="15429A43" w:rsidP="003607CF">
            <w:pPr>
              <w:spacing w:line="240" w:lineRule="auto"/>
              <w:jc w:val="left"/>
              <w:rPr>
                <w:rFonts w:ascii="Tahoma" w:eastAsia="Tahoma" w:hAnsi="Tahoma" w:cs="Tahoma"/>
                <w:b/>
                <w:bCs/>
                <w:color w:val="000000" w:themeColor="text1"/>
              </w:rPr>
            </w:pPr>
            <w:r w:rsidRPr="7A3C8C62">
              <w:rPr>
                <w:rFonts w:ascii="Tahoma" w:eastAsia="Tahoma" w:hAnsi="Tahoma" w:cs="Tahoma"/>
                <w:b/>
                <w:bCs/>
                <w:color w:val="000000" w:themeColor="text1"/>
              </w:rPr>
              <w:t>C</w:t>
            </w:r>
            <w:r w:rsidR="00B8604F">
              <w:rPr>
                <w:rFonts w:ascii="Tahoma" w:eastAsia="Tahoma" w:hAnsi="Tahoma" w:cs="Tahoma"/>
                <w:b/>
                <w:bCs/>
                <w:color w:val="000000" w:themeColor="text1"/>
              </w:rPr>
              <w:t>EO</w:t>
            </w:r>
          </w:p>
        </w:tc>
      </w:tr>
      <w:tr w:rsidR="7A3C8C62" w14:paraId="2FFD9387" w14:textId="77777777" w:rsidTr="5522084D">
        <w:trPr>
          <w:trHeight w:val="247"/>
          <w:tblHeader/>
        </w:trPr>
        <w:tc>
          <w:tcPr>
            <w:tcW w:w="1306" w:type="dxa"/>
            <w:tcBorders>
              <w:bottom w:val="single" w:sz="4" w:space="0" w:color="auto"/>
            </w:tcBorders>
            <w:shd w:val="clear" w:color="auto" w:fill="auto"/>
          </w:tcPr>
          <w:p w14:paraId="76E90895" w14:textId="2C34C598" w:rsidR="15429A43" w:rsidRDefault="00705E7C" w:rsidP="003607CF">
            <w:pPr>
              <w:spacing w:line="240" w:lineRule="auto"/>
              <w:jc w:val="left"/>
              <w:rPr>
                <w:rFonts w:ascii="Tahoma" w:eastAsia="Tahoma" w:hAnsi="Tahoma" w:cs="Tahoma"/>
                <w:b/>
                <w:bCs/>
                <w:color w:val="000000" w:themeColor="text1"/>
              </w:rPr>
            </w:pPr>
            <w:r>
              <w:rPr>
                <w:rFonts w:ascii="Tahoma" w:eastAsia="Tahoma" w:hAnsi="Tahoma" w:cs="Tahoma"/>
                <w:b/>
                <w:bCs/>
                <w:color w:val="000000" w:themeColor="text1"/>
              </w:rPr>
              <w:t>4.3</w:t>
            </w:r>
          </w:p>
        </w:tc>
        <w:tc>
          <w:tcPr>
            <w:tcW w:w="6606" w:type="dxa"/>
            <w:tcBorders>
              <w:bottom w:val="single" w:sz="4" w:space="0" w:color="auto"/>
            </w:tcBorders>
            <w:shd w:val="clear" w:color="auto" w:fill="auto"/>
            <w:vAlign w:val="center"/>
          </w:tcPr>
          <w:p w14:paraId="1F9B06E4" w14:textId="0A4FCABF" w:rsidR="7A3C8C62" w:rsidRPr="00D343F7" w:rsidRDefault="00705E7C" w:rsidP="5D9F8773">
            <w:pPr>
              <w:spacing w:line="240" w:lineRule="auto"/>
              <w:rPr>
                <w:rFonts w:ascii="Tahoma" w:hAnsi="Tahoma" w:cs="Tahoma"/>
                <w:b/>
                <w:bCs/>
                <w:color w:val="000000" w:themeColor="text1"/>
              </w:rPr>
            </w:pPr>
            <w:r w:rsidRPr="5522084D">
              <w:rPr>
                <w:rFonts w:ascii="Tahoma" w:hAnsi="Tahoma" w:cs="Tahoma"/>
                <w:b/>
                <w:bCs/>
                <w:color w:val="000000" w:themeColor="text1"/>
              </w:rPr>
              <w:t>Cost of Living Award 2022/23</w:t>
            </w:r>
          </w:p>
          <w:p w14:paraId="49CD8F2D" w14:textId="77777777" w:rsidR="00705E7C" w:rsidRPr="00D343F7" w:rsidRDefault="00705E7C" w:rsidP="5D9F8773">
            <w:pPr>
              <w:spacing w:line="240" w:lineRule="auto"/>
              <w:rPr>
                <w:rFonts w:ascii="Tahoma" w:hAnsi="Tahoma" w:cs="Tahoma"/>
                <w:color w:val="000000" w:themeColor="text1"/>
              </w:rPr>
            </w:pPr>
          </w:p>
          <w:p w14:paraId="58702935" w14:textId="243581E3" w:rsidR="7A3C8C62" w:rsidRDefault="00705E7C" w:rsidP="5D9F8773">
            <w:pPr>
              <w:spacing w:line="240" w:lineRule="auto"/>
              <w:rPr>
                <w:rFonts w:ascii="Tahoma" w:hAnsi="Tahoma" w:cs="Tahoma"/>
                <w:color w:val="000000" w:themeColor="text1"/>
              </w:rPr>
            </w:pPr>
            <w:r w:rsidRPr="5D9F8773">
              <w:rPr>
                <w:rFonts w:ascii="Tahoma" w:hAnsi="Tahoma" w:cs="Tahoma"/>
                <w:color w:val="000000" w:themeColor="text1"/>
              </w:rPr>
              <w:t xml:space="preserve">The DCS and JY outlined the considerations taken by the Remuneration Committee for a </w:t>
            </w:r>
            <w:bookmarkStart w:id="1" w:name="_Int_Ci6JrNy5"/>
            <w:r w:rsidRPr="5D9F8773">
              <w:rPr>
                <w:rFonts w:ascii="Tahoma" w:hAnsi="Tahoma" w:cs="Tahoma"/>
                <w:color w:val="000000" w:themeColor="text1"/>
              </w:rPr>
              <w:t>cost of living</w:t>
            </w:r>
            <w:bookmarkEnd w:id="1"/>
            <w:r w:rsidRPr="5D9F8773">
              <w:rPr>
                <w:rFonts w:ascii="Tahoma" w:hAnsi="Tahoma" w:cs="Tahoma"/>
                <w:color w:val="000000" w:themeColor="text1"/>
              </w:rPr>
              <w:t xml:space="preserve"> increase to all salary points for 2022/23</w:t>
            </w:r>
            <w:r w:rsidR="00D343F7" w:rsidRPr="5D9F8773">
              <w:rPr>
                <w:rFonts w:ascii="Tahoma" w:hAnsi="Tahoma" w:cs="Tahoma"/>
                <w:color w:val="000000" w:themeColor="text1"/>
              </w:rPr>
              <w:t>:</w:t>
            </w:r>
          </w:p>
          <w:p w14:paraId="6F9E8754" w14:textId="01C62FFE" w:rsidR="35688607" w:rsidRDefault="35688607" w:rsidP="5D9F8773">
            <w:pPr>
              <w:spacing w:line="240" w:lineRule="auto"/>
              <w:rPr>
                <w:color w:val="000000" w:themeColor="text1"/>
              </w:rPr>
            </w:pPr>
          </w:p>
          <w:p w14:paraId="74125D2D" w14:textId="492BA6B1" w:rsidR="00D343F7" w:rsidRPr="00D343F7" w:rsidRDefault="00D343F7" w:rsidP="5D9F8773">
            <w:pPr>
              <w:widowControl/>
              <w:numPr>
                <w:ilvl w:val="0"/>
                <w:numId w:val="37"/>
              </w:numPr>
              <w:adjustRightInd/>
              <w:spacing w:line="240" w:lineRule="auto"/>
              <w:ind w:right="-188"/>
              <w:textAlignment w:val="auto"/>
              <w:rPr>
                <w:rFonts w:ascii="Tahoma" w:hAnsi="Tahoma" w:cs="Tahoma"/>
                <w:color w:val="000000" w:themeColor="text1"/>
              </w:rPr>
            </w:pPr>
            <w:r w:rsidRPr="5D9F8773">
              <w:rPr>
                <w:rFonts w:ascii="Tahoma" w:hAnsi="Tahoma" w:cs="Tahoma"/>
                <w:color w:val="000000" w:themeColor="text1"/>
              </w:rPr>
              <w:t>CPI/CPIH/RPI/Average Earnings Figures and trends outlined in the paper’s table 1 showing the economic context.</w:t>
            </w:r>
          </w:p>
          <w:p w14:paraId="6FEA082E" w14:textId="77777777" w:rsidR="00D343F7" w:rsidRPr="00D343F7" w:rsidRDefault="00D343F7" w:rsidP="5D9F8773">
            <w:pPr>
              <w:widowControl/>
              <w:numPr>
                <w:ilvl w:val="0"/>
                <w:numId w:val="37"/>
              </w:numPr>
              <w:adjustRightInd/>
              <w:spacing w:line="240" w:lineRule="auto"/>
              <w:textAlignment w:val="auto"/>
              <w:rPr>
                <w:rFonts w:ascii="Tahoma" w:hAnsi="Tahoma" w:cs="Tahoma"/>
                <w:color w:val="000000" w:themeColor="text1"/>
              </w:rPr>
            </w:pPr>
            <w:r w:rsidRPr="5D9F8773">
              <w:rPr>
                <w:rFonts w:ascii="Tahoma" w:hAnsi="Tahoma" w:cs="Tahoma"/>
                <w:color w:val="000000" w:themeColor="text1"/>
              </w:rPr>
              <w:t>Staff Retention – Statistics so far for 2021-22 show that Osprey is retaining staff with low staff turnaround figures. Of those staff members who have left during the financial year to date none have stated remuneration as being a contributory factor.</w:t>
            </w:r>
          </w:p>
          <w:p w14:paraId="04967700" w14:textId="16E4F80A" w:rsidR="00D343F7" w:rsidRPr="00D343F7" w:rsidRDefault="00D343F7" w:rsidP="5D9F8773">
            <w:pPr>
              <w:pStyle w:val="ListParagraph"/>
              <w:widowControl/>
              <w:numPr>
                <w:ilvl w:val="0"/>
                <w:numId w:val="37"/>
              </w:numPr>
              <w:adjustRightInd/>
              <w:spacing w:line="240" w:lineRule="auto"/>
              <w:textAlignment w:val="auto"/>
              <w:rPr>
                <w:rFonts w:asciiTheme="minorHAnsi" w:eastAsiaTheme="minorEastAsia" w:hAnsiTheme="minorHAnsi" w:cstheme="minorBidi"/>
                <w:color w:val="000000" w:themeColor="text1"/>
              </w:rPr>
            </w:pPr>
            <w:r w:rsidRPr="5D9F8773">
              <w:rPr>
                <w:rFonts w:ascii="Tahoma" w:hAnsi="Tahoma" w:cs="Tahoma"/>
                <w:color w:val="000000" w:themeColor="text1"/>
              </w:rPr>
              <w:t xml:space="preserve">Staff Recruitment – Although limited, due to the above, recent recruitment experience has indicated that salary levels are set at a level that is enabling the organisation to attract appropriately skilled personnel. This could be a direct impact of the prevailing local economic factors in the </w:t>
            </w:r>
            <w:bookmarkStart w:id="2" w:name="_Int_UdTb5yvF"/>
            <w:r w:rsidRPr="5D9F8773">
              <w:rPr>
                <w:rFonts w:ascii="Tahoma" w:hAnsi="Tahoma" w:cs="Tahoma"/>
                <w:color w:val="000000" w:themeColor="text1"/>
              </w:rPr>
              <w:t>North East</w:t>
            </w:r>
            <w:bookmarkEnd w:id="2"/>
            <w:r w:rsidRPr="5D9F8773">
              <w:rPr>
                <w:rFonts w:ascii="Tahoma" w:hAnsi="Tahoma" w:cs="Tahoma"/>
                <w:color w:val="000000" w:themeColor="text1"/>
              </w:rPr>
              <w:t xml:space="preserve"> of Scotland.</w:t>
            </w:r>
          </w:p>
          <w:p w14:paraId="48B75099" w14:textId="1B76BB79" w:rsidR="00D343F7" w:rsidRPr="00D343F7" w:rsidRDefault="00D343F7" w:rsidP="5D9F8773">
            <w:pPr>
              <w:widowControl/>
              <w:numPr>
                <w:ilvl w:val="0"/>
                <w:numId w:val="37"/>
              </w:numPr>
              <w:adjustRightInd/>
              <w:spacing w:line="240" w:lineRule="auto"/>
              <w:textAlignment w:val="auto"/>
              <w:rPr>
                <w:rFonts w:ascii="Tahoma" w:hAnsi="Tahoma" w:cs="Tahoma"/>
                <w:color w:val="000000" w:themeColor="text1"/>
              </w:rPr>
            </w:pPr>
            <w:r w:rsidRPr="5D9F8773">
              <w:rPr>
                <w:rFonts w:ascii="Tahoma" w:hAnsi="Tahoma" w:cs="Tahoma"/>
                <w:color w:val="000000" w:themeColor="text1"/>
              </w:rPr>
              <w:lastRenderedPageBreak/>
              <w:t>The ongoing economic situation due to Brexit, the pandemic, and the effect this has had on the stability of inflation rates was considered. This decision had been delayed from November 2021 in an effort to receive as much data as possible to further understand the potential future circumstances.</w:t>
            </w:r>
          </w:p>
          <w:p w14:paraId="67041097" w14:textId="30A05B9A" w:rsidR="00D343F7" w:rsidRPr="00D343F7" w:rsidRDefault="00D343F7" w:rsidP="5D9F8773">
            <w:pPr>
              <w:widowControl/>
              <w:numPr>
                <w:ilvl w:val="0"/>
                <w:numId w:val="37"/>
              </w:numPr>
              <w:adjustRightInd/>
              <w:spacing w:line="240" w:lineRule="auto"/>
              <w:textAlignment w:val="auto"/>
              <w:rPr>
                <w:rFonts w:ascii="Tahoma" w:hAnsi="Tahoma" w:cs="Tahoma"/>
                <w:color w:val="000000" w:themeColor="text1"/>
              </w:rPr>
            </w:pPr>
            <w:r w:rsidRPr="5D9F8773">
              <w:rPr>
                <w:rFonts w:ascii="Tahoma" w:hAnsi="Tahoma" w:cs="Tahoma"/>
                <w:color w:val="000000" w:themeColor="text1"/>
              </w:rPr>
              <w:t xml:space="preserve">The promise made to our tenants as part of last year’s </w:t>
            </w:r>
            <w:proofErr w:type="spellStart"/>
            <w:r w:rsidRPr="5D9F8773">
              <w:rPr>
                <w:rFonts w:ascii="Tahoma" w:hAnsi="Tahoma" w:cs="Tahoma"/>
                <w:color w:val="000000" w:themeColor="text1"/>
              </w:rPr>
              <w:t>ToE</w:t>
            </w:r>
            <w:proofErr w:type="spellEnd"/>
            <w:r w:rsidRPr="5D9F8773">
              <w:rPr>
                <w:rFonts w:ascii="Tahoma" w:hAnsi="Tahoma" w:cs="Tahoma"/>
                <w:color w:val="000000" w:themeColor="text1"/>
              </w:rPr>
              <w:t xml:space="preserve"> to keep this year’s rent increase to no more than CPI as reported for September 2021.</w:t>
            </w:r>
          </w:p>
          <w:p w14:paraId="0F38488B" w14:textId="6EB41DD9" w:rsidR="00D343F7" w:rsidRPr="00281C23" w:rsidRDefault="00D343F7" w:rsidP="5D9F8773">
            <w:pPr>
              <w:widowControl/>
              <w:numPr>
                <w:ilvl w:val="0"/>
                <w:numId w:val="37"/>
              </w:numPr>
              <w:adjustRightInd/>
              <w:spacing w:line="240" w:lineRule="auto"/>
              <w:textAlignment w:val="auto"/>
              <w:rPr>
                <w:rFonts w:ascii="Tahoma" w:hAnsi="Tahoma" w:cs="Tahoma"/>
                <w:color w:val="000000" w:themeColor="text1"/>
              </w:rPr>
            </w:pPr>
            <w:r w:rsidRPr="5D9F8773">
              <w:rPr>
                <w:rFonts w:ascii="Tahoma" w:hAnsi="Tahoma" w:cs="Tahoma"/>
                <w:color w:val="000000" w:themeColor="text1"/>
              </w:rPr>
              <w:t>National Insurance Contributions – Staff and the organisation will be faced with a 1.25% increase in contributions from 1 April 2022.</w:t>
            </w:r>
          </w:p>
          <w:p w14:paraId="616B2E8E" w14:textId="77777777" w:rsidR="00D343F7" w:rsidRPr="00D343F7" w:rsidRDefault="00D343F7" w:rsidP="5D9F8773">
            <w:pPr>
              <w:spacing w:line="240" w:lineRule="auto"/>
              <w:rPr>
                <w:rFonts w:ascii="Tahoma" w:hAnsi="Tahoma" w:cs="Tahoma"/>
                <w:color w:val="000000" w:themeColor="text1"/>
              </w:rPr>
            </w:pPr>
          </w:p>
          <w:p w14:paraId="23625733" w14:textId="7436BAE0" w:rsidR="00D343F7" w:rsidRPr="00D343F7" w:rsidRDefault="00D343F7" w:rsidP="5D9F8773">
            <w:pPr>
              <w:spacing w:line="240" w:lineRule="auto"/>
              <w:rPr>
                <w:rFonts w:ascii="Tahoma" w:hAnsi="Tahoma" w:cs="Tahoma"/>
                <w:color w:val="000000" w:themeColor="text1"/>
              </w:rPr>
            </w:pPr>
            <w:r w:rsidRPr="5D9F8773">
              <w:rPr>
                <w:rFonts w:ascii="Tahoma" w:hAnsi="Tahoma" w:cs="Tahoma"/>
                <w:color w:val="000000" w:themeColor="text1"/>
              </w:rPr>
              <w:t>After full consideration and discussion of all the information, in these exceptional economic circumstances, the Remuneration Committee decided that two options should be presented to the Board for their consideration:</w:t>
            </w:r>
          </w:p>
          <w:p w14:paraId="423D0A0F" w14:textId="1D674314" w:rsidR="00D343F7" w:rsidRPr="00D343F7" w:rsidRDefault="00D343F7" w:rsidP="5D9F8773">
            <w:pPr>
              <w:pStyle w:val="ListParagraph"/>
              <w:numPr>
                <w:ilvl w:val="0"/>
                <w:numId w:val="38"/>
              </w:numPr>
              <w:spacing w:line="240" w:lineRule="auto"/>
              <w:ind w:left="277"/>
              <w:rPr>
                <w:rFonts w:asciiTheme="minorHAnsi" w:eastAsiaTheme="minorEastAsia" w:hAnsiTheme="minorHAnsi" w:cstheme="minorBidi"/>
                <w:color w:val="000000" w:themeColor="text1"/>
              </w:rPr>
            </w:pPr>
            <w:r w:rsidRPr="5D9F8773">
              <w:rPr>
                <w:rFonts w:ascii="Tahoma" w:hAnsi="Tahoma" w:cs="Tahoma"/>
                <w:color w:val="000000" w:themeColor="text1"/>
              </w:rPr>
              <w:t>the initial proposal from SLT of an uplift of 3.1%</w:t>
            </w:r>
          </w:p>
          <w:p w14:paraId="3AB7BDFC" w14:textId="612358DB" w:rsidR="00D343F7" w:rsidRPr="00D343F7" w:rsidRDefault="00D343F7" w:rsidP="5D9F8773">
            <w:pPr>
              <w:pStyle w:val="ListParagraph"/>
              <w:numPr>
                <w:ilvl w:val="0"/>
                <w:numId w:val="38"/>
              </w:numPr>
              <w:spacing w:line="240" w:lineRule="auto"/>
              <w:ind w:left="277"/>
              <w:rPr>
                <w:rFonts w:asciiTheme="minorHAnsi" w:eastAsiaTheme="minorEastAsia" w:hAnsiTheme="minorHAnsi" w:cstheme="minorBidi"/>
                <w:color w:val="000000" w:themeColor="text1"/>
              </w:rPr>
            </w:pPr>
            <w:r w:rsidRPr="5D9F8773">
              <w:rPr>
                <w:rFonts w:ascii="Tahoma" w:hAnsi="Tahoma" w:cs="Tahoma"/>
                <w:color w:val="000000" w:themeColor="text1"/>
              </w:rPr>
              <w:t>an uplift of 3.5% which although slightly higher than initially proposed included a thank you to staff for their excellent work during the pandemic.</w:t>
            </w:r>
          </w:p>
          <w:p w14:paraId="5B6F7474" w14:textId="77777777" w:rsidR="00D343F7" w:rsidRPr="00D343F7" w:rsidRDefault="00D343F7" w:rsidP="5D9F8773">
            <w:pPr>
              <w:spacing w:line="240" w:lineRule="auto"/>
              <w:rPr>
                <w:rFonts w:ascii="Tahoma" w:hAnsi="Tahoma" w:cs="Tahoma"/>
                <w:color w:val="000000" w:themeColor="text1"/>
              </w:rPr>
            </w:pPr>
          </w:p>
          <w:p w14:paraId="22A261B1" w14:textId="6A15F1EE" w:rsidR="00D343F7" w:rsidRPr="00A975DA" w:rsidRDefault="00D343F7" w:rsidP="5D9F8773">
            <w:pPr>
              <w:rPr>
                <w:rFonts w:ascii="Tahoma" w:hAnsi="Tahoma" w:cs="Tahoma"/>
                <w:b/>
                <w:bCs/>
                <w:color w:val="000000" w:themeColor="text1"/>
              </w:rPr>
            </w:pPr>
            <w:r w:rsidRPr="5D9F8773">
              <w:rPr>
                <w:rFonts w:ascii="Tahoma" w:hAnsi="Tahoma" w:cs="Tahoma"/>
                <w:b/>
                <w:bCs/>
                <w:color w:val="000000" w:themeColor="text1"/>
              </w:rPr>
              <w:t>The Board:</w:t>
            </w:r>
          </w:p>
          <w:p w14:paraId="40039F0C" w14:textId="7E519D90" w:rsidR="00D343F7" w:rsidRPr="00A975DA" w:rsidRDefault="00A975DA" w:rsidP="5D9F8773">
            <w:pPr>
              <w:pStyle w:val="ListParagraph"/>
              <w:numPr>
                <w:ilvl w:val="0"/>
                <w:numId w:val="38"/>
              </w:numPr>
              <w:spacing w:line="240" w:lineRule="auto"/>
              <w:ind w:hanging="433"/>
              <w:rPr>
                <w:rFonts w:ascii="Tahoma" w:hAnsi="Tahoma" w:cs="Tahoma"/>
                <w:b/>
                <w:bCs/>
                <w:color w:val="000000" w:themeColor="text1"/>
              </w:rPr>
            </w:pPr>
            <w:r w:rsidRPr="5D9F8773">
              <w:rPr>
                <w:rFonts w:ascii="Tahoma" w:hAnsi="Tahoma" w:cs="Tahoma"/>
                <w:b/>
                <w:bCs/>
                <w:color w:val="000000" w:themeColor="text1"/>
              </w:rPr>
              <w:t>C</w:t>
            </w:r>
            <w:r w:rsidR="00D343F7" w:rsidRPr="5D9F8773">
              <w:rPr>
                <w:rFonts w:ascii="Tahoma" w:hAnsi="Tahoma" w:cs="Tahoma"/>
                <w:b/>
                <w:bCs/>
                <w:color w:val="000000" w:themeColor="text1"/>
              </w:rPr>
              <w:t>onsider</w:t>
            </w:r>
            <w:r w:rsidRPr="5D9F8773">
              <w:rPr>
                <w:rFonts w:ascii="Tahoma" w:hAnsi="Tahoma" w:cs="Tahoma"/>
                <w:b/>
                <w:bCs/>
                <w:color w:val="000000" w:themeColor="text1"/>
              </w:rPr>
              <w:t>ed</w:t>
            </w:r>
            <w:r w:rsidR="00D343F7" w:rsidRPr="5D9F8773">
              <w:rPr>
                <w:rFonts w:ascii="Tahoma" w:hAnsi="Tahoma" w:cs="Tahoma"/>
                <w:b/>
                <w:bCs/>
                <w:color w:val="000000" w:themeColor="text1"/>
              </w:rPr>
              <w:t xml:space="preserve"> and discuss</w:t>
            </w:r>
            <w:r w:rsidRPr="5D9F8773">
              <w:rPr>
                <w:rFonts w:ascii="Tahoma" w:hAnsi="Tahoma" w:cs="Tahoma"/>
                <w:b/>
                <w:bCs/>
                <w:color w:val="000000" w:themeColor="text1"/>
              </w:rPr>
              <w:t>ed</w:t>
            </w:r>
            <w:r w:rsidR="00D343F7" w:rsidRPr="5D9F8773">
              <w:rPr>
                <w:rFonts w:ascii="Tahoma" w:hAnsi="Tahoma" w:cs="Tahoma"/>
                <w:b/>
                <w:bCs/>
                <w:color w:val="000000" w:themeColor="text1"/>
              </w:rPr>
              <w:t xml:space="preserve"> the contents of the report</w:t>
            </w:r>
          </w:p>
          <w:p w14:paraId="65F96899" w14:textId="151E3B0E" w:rsidR="00D343F7" w:rsidRPr="00A975DA" w:rsidRDefault="00A975DA" w:rsidP="5D9F8773">
            <w:pPr>
              <w:pStyle w:val="ListParagraph"/>
              <w:numPr>
                <w:ilvl w:val="0"/>
                <w:numId w:val="38"/>
              </w:numPr>
              <w:spacing w:line="240" w:lineRule="auto"/>
              <w:ind w:hanging="433"/>
              <w:rPr>
                <w:rFonts w:ascii="Tahoma" w:hAnsi="Tahoma" w:cs="Tahoma"/>
                <w:b/>
                <w:bCs/>
                <w:color w:val="000000" w:themeColor="text1"/>
              </w:rPr>
            </w:pPr>
            <w:r w:rsidRPr="5D9F8773">
              <w:rPr>
                <w:rFonts w:ascii="Tahoma" w:hAnsi="Tahoma" w:cs="Tahoma"/>
                <w:b/>
                <w:bCs/>
                <w:color w:val="000000" w:themeColor="text1"/>
              </w:rPr>
              <w:t>C</w:t>
            </w:r>
            <w:r w:rsidR="00D343F7" w:rsidRPr="5D9F8773">
              <w:rPr>
                <w:rFonts w:ascii="Tahoma" w:hAnsi="Tahoma" w:cs="Tahoma"/>
                <w:b/>
                <w:bCs/>
                <w:color w:val="000000" w:themeColor="text1"/>
              </w:rPr>
              <w:t>onsider</w:t>
            </w:r>
            <w:r w:rsidRPr="5D9F8773">
              <w:rPr>
                <w:rFonts w:ascii="Tahoma" w:hAnsi="Tahoma" w:cs="Tahoma"/>
                <w:b/>
                <w:bCs/>
                <w:color w:val="000000" w:themeColor="text1"/>
              </w:rPr>
              <w:t>ed</w:t>
            </w:r>
            <w:r w:rsidR="00D343F7" w:rsidRPr="5D9F8773">
              <w:rPr>
                <w:rFonts w:ascii="Tahoma" w:hAnsi="Tahoma" w:cs="Tahoma"/>
                <w:b/>
                <w:bCs/>
                <w:color w:val="000000" w:themeColor="text1"/>
              </w:rPr>
              <w:t xml:space="preserve"> the Remuneration Committee’s recommendation that a </w:t>
            </w:r>
            <w:bookmarkStart w:id="3" w:name="_Int_EJ4fj0zz"/>
            <w:r w:rsidR="00D343F7" w:rsidRPr="5D9F8773">
              <w:rPr>
                <w:rFonts w:ascii="Tahoma" w:hAnsi="Tahoma" w:cs="Tahoma"/>
                <w:b/>
                <w:bCs/>
                <w:color w:val="000000" w:themeColor="text1"/>
              </w:rPr>
              <w:t>cost of living</w:t>
            </w:r>
            <w:bookmarkEnd w:id="3"/>
            <w:r w:rsidR="00D343F7" w:rsidRPr="5D9F8773">
              <w:rPr>
                <w:rFonts w:ascii="Tahoma" w:hAnsi="Tahoma" w:cs="Tahoma"/>
                <w:b/>
                <w:bCs/>
                <w:color w:val="000000" w:themeColor="text1"/>
              </w:rPr>
              <w:t xml:space="preserve"> award for 2022/23 be applied to all salary points within the Osprey staffing structure</w:t>
            </w:r>
          </w:p>
          <w:p w14:paraId="6736C534" w14:textId="154AC8BF" w:rsidR="00D343F7" w:rsidRPr="00A975DA" w:rsidRDefault="00A975DA" w:rsidP="5D9F8773">
            <w:pPr>
              <w:pStyle w:val="ListParagraph"/>
              <w:numPr>
                <w:ilvl w:val="0"/>
                <w:numId w:val="38"/>
              </w:numPr>
              <w:spacing w:line="240" w:lineRule="auto"/>
              <w:ind w:hanging="433"/>
              <w:rPr>
                <w:rFonts w:asciiTheme="minorHAnsi" w:eastAsiaTheme="minorEastAsia" w:hAnsiTheme="minorHAnsi" w:cstheme="minorBidi"/>
                <w:b/>
                <w:bCs/>
                <w:color w:val="000000" w:themeColor="text1"/>
              </w:rPr>
            </w:pPr>
            <w:r w:rsidRPr="5D9F8773">
              <w:rPr>
                <w:rFonts w:ascii="Tahoma" w:hAnsi="Tahoma" w:cs="Tahoma"/>
                <w:b/>
                <w:bCs/>
                <w:color w:val="000000" w:themeColor="text1"/>
              </w:rPr>
              <w:t>C</w:t>
            </w:r>
            <w:r w:rsidR="00D343F7" w:rsidRPr="5D9F8773">
              <w:rPr>
                <w:rFonts w:ascii="Tahoma" w:hAnsi="Tahoma" w:cs="Tahoma"/>
                <w:b/>
                <w:bCs/>
                <w:color w:val="000000" w:themeColor="text1"/>
              </w:rPr>
              <w:t>onsider</w:t>
            </w:r>
            <w:r w:rsidRPr="5D9F8773">
              <w:rPr>
                <w:rFonts w:ascii="Tahoma" w:hAnsi="Tahoma" w:cs="Tahoma"/>
                <w:b/>
                <w:bCs/>
                <w:color w:val="000000" w:themeColor="text1"/>
              </w:rPr>
              <w:t>ed</w:t>
            </w:r>
            <w:r w:rsidR="00D343F7" w:rsidRPr="5D9F8773">
              <w:rPr>
                <w:rFonts w:ascii="Tahoma" w:hAnsi="Tahoma" w:cs="Tahoma"/>
                <w:b/>
                <w:bCs/>
                <w:color w:val="000000" w:themeColor="text1"/>
              </w:rPr>
              <w:t xml:space="preserve"> and decide</w:t>
            </w:r>
            <w:r w:rsidRPr="5D9F8773">
              <w:rPr>
                <w:rFonts w:ascii="Tahoma" w:hAnsi="Tahoma" w:cs="Tahoma"/>
                <w:b/>
                <w:bCs/>
                <w:color w:val="000000" w:themeColor="text1"/>
              </w:rPr>
              <w:t>d</w:t>
            </w:r>
            <w:r w:rsidR="00D343F7" w:rsidRPr="5D9F8773">
              <w:rPr>
                <w:rFonts w:ascii="Tahoma" w:hAnsi="Tahoma" w:cs="Tahoma"/>
                <w:b/>
                <w:bCs/>
                <w:color w:val="000000" w:themeColor="text1"/>
              </w:rPr>
              <w:t xml:space="preserve"> which of the two options proposed by the Remuneration Committee should be applied </w:t>
            </w:r>
          </w:p>
          <w:p w14:paraId="1EFBB5F8" w14:textId="73B915C6" w:rsidR="00D343F7" w:rsidRPr="00A975DA" w:rsidRDefault="00D343F7" w:rsidP="5D9F8773">
            <w:pPr>
              <w:pStyle w:val="ListParagraph"/>
              <w:numPr>
                <w:ilvl w:val="0"/>
                <w:numId w:val="38"/>
              </w:numPr>
              <w:spacing w:line="240" w:lineRule="auto"/>
              <w:ind w:hanging="433"/>
              <w:rPr>
                <w:rFonts w:asciiTheme="minorHAnsi" w:eastAsiaTheme="minorEastAsia" w:hAnsiTheme="minorHAnsi" w:cstheme="minorBidi"/>
                <w:b/>
                <w:bCs/>
                <w:color w:val="000000" w:themeColor="text1"/>
              </w:rPr>
            </w:pPr>
            <w:r w:rsidRPr="5D9F8773">
              <w:rPr>
                <w:rFonts w:ascii="Tahoma" w:hAnsi="Tahoma" w:cs="Tahoma"/>
                <w:b/>
                <w:bCs/>
                <w:color w:val="000000" w:themeColor="text1"/>
              </w:rPr>
              <w:t>An uplift of 3.5%</w:t>
            </w:r>
            <w:r w:rsidR="35688607" w:rsidRPr="5D9F8773">
              <w:rPr>
                <w:rFonts w:ascii="Tahoma" w:eastAsia="Tahoma" w:hAnsi="Tahoma" w:cs="Tahoma"/>
                <w:b/>
                <w:bCs/>
                <w:color w:val="000000" w:themeColor="text1"/>
              </w:rPr>
              <w:t xml:space="preserve"> was approved. A</w:t>
            </w:r>
            <w:r w:rsidRPr="5D9F8773">
              <w:rPr>
                <w:rFonts w:ascii="Tahoma" w:hAnsi="Tahoma" w:cs="Tahoma"/>
                <w:b/>
                <w:bCs/>
                <w:color w:val="000000" w:themeColor="text1"/>
              </w:rPr>
              <w:t>lthough slightly higher than initially proposed, in recognition of the Osprey Team’s performance during the</w:t>
            </w:r>
            <w:r w:rsidRPr="5D9F8773">
              <w:rPr>
                <w:rFonts w:ascii="Tahoma" w:hAnsi="Tahoma" w:cs="Tahoma"/>
                <w:color w:val="000000" w:themeColor="text1"/>
              </w:rPr>
              <w:t xml:space="preserve"> </w:t>
            </w:r>
            <w:r w:rsidRPr="5D9F8773">
              <w:rPr>
                <w:rFonts w:ascii="Tahoma" w:hAnsi="Tahoma" w:cs="Tahoma"/>
                <w:b/>
                <w:bCs/>
                <w:color w:val="000000" w:themeColor="text1"/>
              </w:rPr>
              <w:t>pandemic</w:t>
            </w:r>
            <w:r w:rsidR="00A975DA" w:rsidRPr="5D9F8773">
              <w:rPr>
                <w:rFonts w:ascii="Tahoma" w:hAnsi="Tahoma" w:cs="Tahoma"/>
                <w:b/>
                <w:bCs/>
                <w:color w:val="000000" w:themeColor="text1"/>
              </w:rPr>
              <w:t>. This was proposed by RH and seconded by LA</w:t>
            </w:r>
          </w:p>
          <w:p w14:paraId="1FE45B60" w14:textId="3456540B" w:rsidR="00D343F7" w:rsidRPr="00D343F7" w:rsidRDefault="00D343F7" w:rsidP="5D9F8773">
            <w:pPr>
              <w:spacing w:line="240" w:lineRule="auto"/>
              <w:rPr>
                <w:rFonts w:ascii="Tahoma" w:hAnsi="Tahoma" w:cs="Tahoma"/>
                <w:color w:val="000000" w:themeColor="text1"/>
              </w:rPr>
            </w:pPr>
          </w:p>
          <w:p w14:paraId="2E7A6891" w14:textId="5BB78653" w:rsidR="00D343F7" w:rsidRPr="00D343F7" w:rsidRDefault="5D9F8773" w:rsidP="5D9F8773">
            <w:pPr>
              <w:spacing w:line="240" w:lineRule="auto"/>
              <w:rPr>
                <w:rFonts w:ascii="Tahoma" w:eastAsia="Tahoma" w:hAnsi="Tahoma" w:cs="Tahoma"/>
                <w:b/>
                <w:bCs/>
                <w:color w:val="000000" w:themeColor="text1"/>
              </w:rPr>
            </w:pPr>
            <w:r w:rsidRPr="5D9F8773">
              <w:rPr>
                <w:rFonts w:ascii="Tahoma" w:eastAsia="Tahoma" w:hAnsi="Tahoma" w:cs="Tahoma"/>
                <w:b/>
                <w:bCs/>
                <w:color w:val="000000" w:themeColor="text1"/>
              </w:rPr>
              <w:t>The Business plan, subject to the decisions above, was unanimously approved.</w:t>
            </w:r>
          </w:p>
          <w:p w14:paraId="40D59361" w14:textId="653E2618" w:rsidR="00D343F7" w:rsidRPr="00D343F7" w:rsidRDefault="00D343F7" w:rsidP="5D9F8773">
            <w:pPr>
              <w:spacing w:line="240" w:lineRule="auto"/>
              <w:rPr>
                <w:color w:val="000000" w:themeColor="text1"/>
              </w:rPr>
            </w:pPr>
          </w:p>
        </w:tc>
        <w:tc>
          <w:tcPr>
            <w:tcW w:w="1331" w:type="dxa"/>
            <w:tcBorders>
              <w:bottom w:val="single" w:sz="4" w:space="0" w:color="auto"/>
            </w:tcBorders>
            <w:shd w:val="clear" w:color="auto" w:fill="auto"/>
          </w:tcPr>
          <w:p w14:paraId="75FC695C" w14:textId="4F4F2D81" w:rsidR="7A3C8C62" w:rsidRDefault="00705E7C" w:rsidP="5D9F8773">
            <w:pPr>
              <w:spacing w:line="240" w:lineRule="auto"/>
              <w:rPr>
                <w:rFonts w:ascii="Tahoma" w:eastAsia="Tahoma" w:hAnsi="Tahoma" w:cs="Tahoma"/>
                <w:b/>
                <w:bCs/>
                <w:color w:val="000000" w:themeColor="text1"/>
              </w:rPr>
            </w:pPr>
            <w:r w:rsidRPr="5D9F8773">
              <w:rPr>
                <w:rFonts w:ascii="Tahoma" w:eastAsia="Tahoma" w:hAnsi="Tahoma" w:cs="Tahoma"/>
                <w:b/>
                <w:bCs/>
                <w:color w:val="000000" w:themeColor="text1"/>
              </w:rPr>
              <w:lastRenderedPageBreak/>
              <w:t>DCS</w:t>
            </w:r>
          </w:p>
        </w:tc>
      </w:tr>
      <w:tr w:rsidR="7A3C8C62" w14:paraId="210FC231" w14:textId="77777777" w:rsidTr="5522084D">
        <w:trPr>
          <w:trHeight w:val="247"/>
          <w:tblHeader/>
        </w:trPr>
        <w:tc>
          <w:tcPr>
            <w:tcW w:w="1306" w:type="dxa"/>
            <w:tcBorders>
              <w:bottom w:val="single" w:sz="4" w:space="0" w:color="auto"/>
            </w:tcBorders>
            <w:shd w:val="clear" w:color="auto" w:fill="auto"/>
          </w:tcPr>
          <w:p w14:paraId="684A91C2" w14:textId="4B7DC9F8" w:rsidR="750B05E3" w:rsidRDefault="00A975DA" w:rsidP="003607CF">
            <w:pPr>
              <w:spacing w:line="240" w:lineRule="auto"/>
              <w:jc w:val="left"/>
              <w:rPr>
                <w:rFonts w:ascii="Tahoma" w:eastAsia="Tahoma" w:hAnsi="Tahoma" w:cs="Tahoma"/>
                <w:b/>
                <w:bCs/>
                <w:color w:val="000000" w:themeColor="text1"/>
              </w:rPr>
            </w:pPr>
            <w:r w:rsidRPr="5D9F8773">
              <w:rPr>
                <w:rFonts w:ascii="Tahoma" w:eastAsia="Tahoma" w:hAnsi="Tahoma" w:cs="Tahoma"/>
                <w:b/>
                <w:bCs/>
                <w:color w:val="000000" w:themeColor="text1"/>
              </w:rPr>
              <w:t>5</w:t>
            </w:r>
          </w:p>
        </w:tc>
        <w:tc>
          <w:tcPr>
            <w:tcW w:w="6606" w:type="dxa"/>
            <w:tcBorders>
              <w:bottom w:val="single" w:sz="4" w:space="0" w:color="auto"/>
            </w:tcBorders>
            <w:shd w:val="clear" w:color="auto" w:fill="auto"/>
            <w:vAlign w:val="center"/>
          </w:tcPr>
          <w:p w14:paraId="65400027" w14:textId="06263AFC" w:rsidR="7A3C8C62" w:rsidRDefault="00A975DA" w:rsidP="003607CF">
            <w:pPr>
              <w:tabs>
                <w:tab w:val="left" w:pos="567"/>
              </w:tabs>
              <w:spacing w:line="240" w:lineRule="auto"/>
              <w:jc w:val="left"/>
              <w:rPr>
                <w:rFonts w:ascii="Tahoma" w:hAnsi="Tahoma" w:cs="Tahoma"/>
                <w:b/>
                <w:bCs/>
                <w:color w:val="000000" w:themeColor="text1"/>
              </w:rPr>
            </w:pPr>
            <w:r w:rsidRPr="5D9F8773">
              <w:rPr>
                <w:rFonts w:ascii="Tahoma" w:hAnsi="Tahoma" w:cs="Tahoma"/>
                <w:b/>
                <w:bCs/>
                <w:color w:val="000000" w:themeColor="text1"/>
              </w:rPr>
              <w:t xml:space="preserve">Osprey Initiatives Limited (OIL) Review of Service Provision </w:t>
            </w:r>
          </w:p>
          <w:p w14:paraId="5EA99AC5" w14:textId="3793C993" w:rsidR="5D9F8773" w:rsidRDefault="5D9F8773" w:rsidP="5D9F8773">
            <w:pPr>
              <w:tabs>
                <w:tab w:val="left" w:pos="567"/>
              </w:tabs>
              <w:spacing w:line="240" w:lineRule="auto"/>
              <w:jc w:val="left"/>
              <w:rPr>
                <w:b/>
                <w:bCs/>
                <w:color w:val="000000" w:themeColor="text1"/>
              </w:rPr>
            </w:pPr>
          </w:p>
          <w:p w14:paraId="2C882601" w14:textId="51F79619" w:rsidR="7A3C8C62" w:rsidRDefault="052BD3D2" w:rsidP="5D9F8773">
            <w:pPr>
              <w:tabs>
                <w:tab w:val="left" w:pos="567"/>
              </w:tabs>
              <w:spacing w:line="240" w:lineRule="auto"/>
              <w:rPr>
                <w:rFonts w:ascii="Tahoma" w:eastAsia="Tahoma" w:hAnsi="Tahoma" w:cs="Tahoma"/>
                <w:b/>
                <w:bCs/>
                <w:color w:val="000000" w:themeColor="text1"/>
              </w:rPr>
            </w:pPr>
            <w:r w:rsidRPr="5D9F8773">
              <w:rPr>
                <w:color w:val="000000" w:themeColor="text1"/>
              </w:rPr>
              <w:t>Th</w:t>
            </w:r>
            <w:r w:rsidRPr="5D9F8773">
              <w:rPr>
                <w:rFonts w:ascii="Tahoma" w:eastAsia="Tahoma" w:hAnsi="Tahoma" w:cs="Tahoma"/>
                <w:color w:val="000000" w:themeColor="text1"/>
              </w:rPr>
              <w:t>e Board considered the appraised options, shared with them within the body of the report, as the second phase of the resourcing review for OIL was completed.</w:t>
            </w:r>
          </w:p>
          <w:p w14:paraId="035F9B7A" w14:textId="7FC8871E" w:rsidR="35688607" w:rsidRDefault="35688607" w:rsidP="003607CF">
            <w:pPr>
              <w:tabs>
                <w:tab w:val="left" w:pos="567"/>
              </w:tabs>
              <w:spacing w:line="240" w:lineRule="auto"/>
              <w:jc w:val="left"/>
              <w:rPr>
                <w:rFonts w:ascii="Tahoma" w:eastAsia="Tahoma" w:hAnsi="Tahoma" w:cs="Tahoma"/>
                <w:b/>
                <w:bCs/>
                <w:color w:val="000000" w:themeColor="text1"/>
              </w:rPr>
            </w:pPr>
          </w:p>
          <w:p w14:paraId="49EFB294" w14:textId="677399B5" w:rsidR="7A3C8C62" w:rsidRDefault="052BD3D2" w:rsidP="5D9F8773">
            <w:pPr>
              <w:tabs>
                <w:tab w:val="left" w:pos="567"/>
              </w:tabs>
              <w:spacing w:line="240" w:lineRule="auto"/>
              <w:rPr>
                <w:rFonts w:ascii="Tahoma" w:eastAsia="Tahoma" w:hAnsi="Tahoma" w:cs="Tahoma"/>
                <w:b/>
                <w:bCs/>
                <w:color w:val="000000" w:themeColor="text1"/>
              </w:rPr>
            </w:pPr>
            <w:r w:rsidRPr="5D9F8773">
              <w:rPr>
                <w:rFonts w:ascii="Tahoma" w:eastAsia="Tahoma" w:hAnsi="Tahoma" w:cs="Tahoma"/>
                <w:b/>
                <w:bCs/>
                <w:color w:val="000000" w:themeColor="text1"/>
              </w:rPr>
              <w:lastRenderedPageBreak/>
              <w:t>The Board:</w:t>
            </w:r>
          </w:p>
          <w:p w14:paraId="21D9A0A8" w14:textId="6FCEE2C9" w:rsidR="35688607" w:rsidRDefault="35688607" w:rsidP="5D9F8773">
            <w:pPr>
              <w:pStyle w:val="ListParagraph"/>
              <w:numPr>
                <w:ilvl w:val="0"/>
                <w:numId w:val="1"/>
              </w:numPr>
              <w:tabs>
                <w:tab w:val="left" w:pos="567"/>
              </w:tabs>
              <w:spacing w:line="240" w:lineRule="auto"/>
              <w:rPr>
                <w:b/>
                <w:bCs/>
                <w:color w:val="000000" w:themeColor="text1"/>
              </w:rPr>
            </w:pPr>
            <w:r w:rsidRPr="5D9F8773">
              <w:rPr>
                <w:rFonts w:ascii="Tahoma" w:eastAsia="Tahoma" w:hAnsi="Tahoma" w:cs="Tahoma"/>
                <w:b/>
                <w:bCs/>
                <w:color w:val="000000" w:themeColor="text1"/>
              </w:rPr>
              <w:t>Reviewed the suggested options for the restructur</w:t>
            </w:r>
            <w:r w:rsidR="003740E9" w:rsidRPr="5D9F8773">
              <w:rPr>
                <w:rFonts w:ascii="Tahoma" w:eastAsia="Tahoma" w:hAnsi="Tahoma" w:cs="Tahoma"/>
                <w:b/>
                <w:bCs/>
                <w:color w:val="000000" w:themeColor="text1"/>
              </w:rPr>
              <w:t xml:space="preserve">ing </w:t>
            </w:r>
            <w:r w:rsidRPr="5D9F8773">
              <w:rPr>
                <w:rFonts w:ascii="Tahoma" w:eastAsia="Tahoma" w:hAnsi="Tahoma" w:cs="Tahoma"/>
                <w:b/>
                <w:bCs/>
                <w:color w:val="000000" w:themeColor="text1"/>
              </w:rPr>
              <w:t>of services provided to OIL</w:t>
            </w:r>
          </w:p>
          <w:p w14:paraId="1D9E2462" w14:textId="723D5CEB" w:rsidR="7A3C8C62" w:rsidRDefault="052BD3D2" w:rsidP="5D9F8773">
            <w:pPr>
              <w:pStyle w:val="ListParagraph"/>
              <w:numPr>
                <w:ilvl w:val="0"/>
                <w:numId w:val="1"/>
              </w:numPr>
              <w:tabs>
                <w:tab w:val="left" w:pos="567"/>
              </w:tabs>
              <w:spacing w:line="240" w:lineRule="auto"/>
              <w:rPr>
                <w:rFonts w:ascii="Tahoma" w:eastAsia="Tahoma" w:hAnsi="Tahoma" w:cs="Tahoma"/>
                <w:b/>
                <w:bCs/>
                <w:color w:val="000000" w:themeColor="text1"/>
              </w:rPr>
            </w:pPr>
            <w:r w:rsidRPr="5D9F8773">
              <w:rPr>
                <w:rFonts w:ascii="Tahoma" w:eastAsia="Tahoma" w:hAnsi="Tahoma" w:cs="Tahoma"/>
                <w:b/>
                <w:bCs/>
                <w:color w:val="000000" w:themeColor="text1"/>
              </w:rPr>
              <w:t>Noted the number of options explored and the extent of the informal consultation with affected staff members up to this point</w:t>
            </w:r>
          </w:p>
          <w:p w14:paraId="5F0ECADF" w14:textId="218E9EFD" w:rsidR="7A3C8C62" w:rsidRDefault="052BD3D2" w:rsidP="5D9F8773">
            <w:pPr>
              <w:pStyle w:val="ListParagraph"/>
              <w:numPr>
                <w:ilvl w:val="0"/>
                <w:numId w:val="1"/>
              </w:numPr>
              <w:tabs>
                <w:tab w:val="left" w:pos="567"/>
              </w:tabs>
              <w:spacing w:line="240" w:lineRule="auto"/>
              <w:rPr>
                <w:rFonts w:ascii="Tahoma" w:eastAsia="Tahoma" w:hAnsi="Tahoma" w:cs="Tahoma"/>
                <w:b/>
                <w:bCs/>
                <w:color w:val="000000" w:themeColor="text1"/>
              </w:rPr>
            </w:pPr>
            <w:r w:rsidRPr="5D9F8773">
              <w:rPr>
                <w:rFonts w:ascii="Tahoma" w:eastAsia="Tahoma" w:hAnsi="Tahoma" w:cs="Tahoma"/>
                <w:b/>
                <w:bCs/>
                <w:color w:val="000000" w:themeColor="text1"/>
              </w:rPr>
              <w:t>Considered the merits of each option and the impact on OIL’s ability to remain profitable post 1 April 2022</w:t>
            </w:r>
          </w:p>
          <w:p w14:paraId="371FB24D" w14:textId="71C497CA" w:rsidR="7A3C8C62" w:rsidRDefault="052BD3D2" w:rsidP="5D9F8773">
            <w:pPr>
              <w:pStyle w:val="ListParagraph"/>
              <w:numPr>
                <w:ilvl w:val="0"/>
                <w:numId w:val="1"/>
              </w:numPr>
              <w:tabs>
                <w:tab w:val="left" w:pos="567"/>
              </w:tabs>
              <w:spacing w:line="240" w:lineRule="auto"/>
              <w:rPr>
                <w:rFonts w:ascii="Tahoma" w:eastAsia="Tahoma" w:hAnsi="Tahoma" w:cs="Tahoma"/>
                <w:b/>
                <w:bCs/>
                <w:color w:val="000000" w:themeColor="text1"/>
              </w:rPr>
            </w:pPr>
            <w:r w:rsidRPr="5D9F8773">
              <w:rPr>
                <w:rFonts w:ascii="Tahoma" w:eastAsia="Tahoma" w:hAnsi="Tahoma" w:cs="Tahoma"/>
                <w:b/>
                <w:bCs/>
                <w:color w:val="000000" w:themeColor="text1"/>
              </w:rPr>
              <w:t>Approved the adoption of option 4.2.4 as the new structure for delivering services to OIL from 1 April 2022</w:t>
            </w:r>
          </w:p>
          <w:p w14:paraId="04BACBD5" w14:textId="76297B13" w:rsidR="7A3C8C62" w:rsidRDefault="052BD3D2" w:rsidP="5D9F8773">
            <w:pPr>
              <w:pStyle w:val="ListParagraph"/>
              <w:numPr>
                <w:ilvl w:val="0"/>
                <w:numId w:val="1"/>
              </w:numPr>
              <w:tabs>
                <w:tab w:val="left" w:pos="567"/>
              </w:tabs>
              <w:spacing w:line="240" w:lineRule="auto"/>
              <w:rPr>
                <w:b/>
                <w:bCs/>
                <w:color w:val="000000" w:themeColor="text1"/>
              </w:rPr>
            </w:pPr>
            <w:r w:rsidRPr="5D9F8773">
              <w:rPr>
                <w:rFonts w:ascii="Tahoma" w:eastAsia="Tahoma" w:hAnsi="Tahoma" w:cs="Tahoma"/>
                <w:b/>
                <w:bCs/>
                <w:color w:val="000000" w:themeColor="text1"/>
              </w:rPr>
              <w:t>Agreed that the formal redundancy process for the affected members of staff should commence immediately</w:t>
            </w:r>
          </w:p>
          <w:p w14:paraId="1790DFC4" w14:textId="52F7B391" w:rsidR="7A3C8C62" w:rsidRDefault="052BD3D2" w:rsidP="5D9F8773">
            <w:pPr>
              <w:pStyle w:val="ListParagraph"/>
              <w:numPr>
                <w:ilvl w:val="0"/>
                <w:numId w:val="1"/>
              </w:numPr>
              <w:tabs>
                <w:tab w:val="left" w:pos="567"/>
              </w:tabs>
              <w:spacing w:line="240" w:lineRule="auto"/>
              <w:rPr>
                <w:rFonts w:ascii="Tahoma" w:eastAsia="Tahoma" w:hAnsi="Tahoma" w:cs="Tahoma"/>
                <w:b/>
                <w:bCs/>
                <w:color w:val="000000" w:themeColor="text1"/>
              </w:rPr>
            </w:pPr>
            <w:r w:rsidRPr="5D9F8773">
              <w:rPr>
                <w:rFonts w:ascii="Tahoma" w:eastAsia="Tahoma" w:hAnsi="Tahoma" w:cs="Tahoma"/>
                <w:b/>
                <w:bCs/>
                <w:color w:val="000000" w:themeColor="text1"/>
              </w:rPr>
              <w:t>Agreed delegated authority to the Chairs group should further decisions be required on conclusion of the formal redundancy consultation period</w:t>
            </w:r>
          </w:p>
          <w:p w14:paraId="38982B59" w14:textId="6D7BFB7A" w:rsidR="7A3C8C62" w:rsidRDefault="7A3C8C62" w:rsidP="003607CF">
            <w:pPr>
              <w:tabs>
                <w:tab w:val="left" w:pos="567"/>
              </w:tabs>
              <w:spacing w:line="240" w:lineRule="auto"/>
              <w:jc w:val="left"/>
              <w:rPr>
                <w:b/>
                <w:bCs/>
                <w:color w:val="000000" w:themeColor="text1"/>
              </w:rPr>
            </w:pPr>
          </w:p>
        </w:tc>
        <w:tc>
          <w:tcPr>
            <w:tcW w:w="1331" w:type="dxa"/>
            <w:tcBorders>
              <w:bottom w:val="single" w:sz="4" w:space="0" w:color="auto"/>
            </w:tcBorders>
            <w:shd w:val="clear" w:color="auto" w:fill="auto"/>
          </w:tcPr>
          <w:p w14:paraId="1AB2F2DF" w14:textId="1286E436" w:rsidR="7A3C8C62" w:rsidRDefault="7A3C8C62" w:rsidP="003607CF">
            <w:pPr>
              <w:spacing w:line="240" w:lineRule="auto"/>
              <w:jc w:val="left"/>
              <w:rPr>
                <w:rFonts w:ascii="Tahoma" w:eastAsia="Tahoma" w:hAnsi="Tahoma" w:cs="Tahoma"/>
                <w:b/>
                <w:bCs/>
                <w:color w:val="000000" w:themeColor="text1"/>
              </w:rPr>
            </w:pPr>
            <w:r w:rsidRPr="7A3C8C62">
              <w:rPr>
                <w:rFonts w:ascii="Tahoma" w:eastAsia="Tahoma" w:hAnsi="Tahoma" w:cs="Tahoma"/>
                <w:b/>
                <w:bCs/>
                <w:color w:val="000000" w:themeColor="text1"/>
              </w:rPr>
              <w:lastRenderedPageBreak/>
              <w:t>Chair</w:t>
            </w:r>
          </w:p>
        </w:tc>
      </w:tr>
    </w:tbl>
    <w:p w14:paraId="631FFFDF" w14:textId="5DA7FB8E" w:rsidR="000F1726" w:rsidRPr="00864CC0" w:rsidRDefault="000F1726" w:rsidP="003607CF">
      <w:pPr>
        <w:jc w:val="left"/>
      </w:pPr>
    </w:p>
    <w:p w14:paraId="106A65DC" w14:textId="77777777" w:rsidR="000F1726" w:rsidRPr="00864CC0" w:rsidRDefault="000F1726" w:rsidP="003607CF">
      <w:pPr>
        <w:jc w:val="left"/>
      </w:pPr>
    </w:p>
    <w:tbl>
      <w:tblPr>
        <w:tblpPr w:leftFromText="180" w:rightFromText="180" w:vertAnchor="text" w:tblpY="1"/>
        <w:tblOverlap w:val="never"/>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6530"/>
        <w:gridCol w:w="1375"/>
      </w:tblGrid>
      <w:tr w:rsidR="000F1726" w:rsidRPr="00864CC0" w14:paraId="23F6AAD7" w14:textId="77777777" w:rsidTr="00B02973">
        <w:trPr>
          <w:trHeight w:val="247"/>
          <w:tblHeader/>
        </w:trPr>
        <w:tc>
          <w:tcPr>
            <w:tcW w:w="1262" w:type="dxa"/>
            <w:shd w:val="clear" w:color="auto" w:fill="F2F2F2"/>
          </w:tcPr>
          <w:p w14:paraId="17313194" w14:textId="1FFC6502" w:rsidR="000F1726" w:rsidRPr="00864CC0" w:rsidRDefault="000F1726" w:rsidP="003607CF">
            <w:pPr>
              <w:tabs>
                <w:tab w:val="left" w:pos="567"/>
              </w:tabs>
              <w:spacing w:line="240" w:lineRule="auto"/>
              <w:jc w:val="left"/>
              <w:rPr>
                <w:rFonts w:ascii="Tahoma" w:hAnsi="Tahoma" w:cs="Tahoma"/>
                <w:b/>
                <w:color w:val="000000"/>
              </w:rPr>
            </w:pPr>
            <w:r w:rsidRPr="00864CC0">
              <w:rPr>
                <w:rFonts w:ascii="Tahoma" w:hAnsi="Tahoma" w:cs="Tahoma"/>
                <w:b/>
                <w:color w:val="000000"/>
              </w:rPr>
              <w:t>Minute No</w:t>
            </w:r>
          </w:p>
        </w:tc>
        <w:tc>
          <w:tcPr>
            <w:tcW w:w="6530" w:type="dxa"/>
            <w:shd w:val="clear" w:color="auto" w:fill="F2F2F2"/>
            <w:vAlign w:val="center"/>
          </w:tcPr>
          <w:p w14:paraId="5547B595" w14:textId="30BBD22C" w:rsidR="000F1726" w:rsidRPr="00864CC0" w:rsidRDefault="000F1726" w:rsidP="003607CF">
            <w:pPr>
              <w:spacing w:line="240" w:lineRule="auto"/>
              <w:jc w:val="left"/>
              <w:rPr>
                <w:rFonts w:ascii="Tahoma" w:hAnsi="Tahoma" w:cs="Tahoma"/>
                <w:b/>
                <w:color w:val="000000"/>
              </w:rPr>
            </w:pPr>
            <w:r w:rsidRPr="00864CC0">
              <w:rPr>
                <w:rFonts w:ascii="Tahoma" w:hAnsi="Tahoma" w:cs="Tahoma"/>
                <w:b/>
                <w:color w:val="000000"/>
              </w:rPr>
              <w:t>Subject</w:t>
            </w:r>
          </w:p>
        </w:tc>
        <w:tc>
          <w:tcPr>
            <w:tcW w:w="1375" w:type="dxa"/>
            <w:shd w:val="clear" w:color="auto" w:fill="F2F2F2"/>
            <w:vAlign w:val="center"/>
          </w:tcPr>
          <w:p w14:paraId="3B0E0586" w14:textId="307AB0A9" w:rsidR="000F1726" w:rsidRPr="00864CC0" w:rsidRDefault="000F1726" w:rsidP="003607CF">
            <w:pPr>
              <w:tabs>
                <w:tab w:val="left" w:pos="567"/>
              </w:tabs>
              <w:spacing w:line="240" w:lineRule="auto"/>
              <w:jc w:val="left"/>
              <w:rPr>
                <w:rFonts w:ascii="Tahoma" w:hAnsi="Tahoma" w:cs="Tahoma"/>
                <w:b/>
                <w:color w:val="000000"/>
              </w:rPr>
            </w:pPr>
            <w:r w:rsidRPr="00864CC0">
              <w:rPr>
                <w:rFonts w:ascii="Tahoma" w:hAnsi="Tahoma" w:cs="Tahoma"/>
                <w:b/>
                <w:color w:val="000000"/>
              </w:rPr>
              <w:t>Action</w:t>
            </w:r>
          </w:p>
        </w:tc>
      </w:tr>
      <w:tr w:rsidR="000F1726" w:rsidRPr="00864CC0" w14:paraId="25EC99E5" w14:textId="77777777" w:rsidTr="00583CC9">
        <w:trPr>
          <w:trHeight w:val="247"/>
          <w:tblHeader/>
        </w:trPr>
        <w:tc>
          <w:tcPr>
            <w:tcW w:w="1262" w:type="dxa"/>
            <w:shd w:val="clear" w:color="auto" w:fill="auto"/>
          </w:tcPr>
          <w:p w14:paraId="4CEFEE40" w14:textId="77777777" w:rsidR="000F1726" w:rsidRPr="00864CC0" w:rsidRDefault="000F1726" w:rsidP="003607CF">
            <w:pPr>
              <w:tabs>
                <w:tab w:val="left" w:pos="567"/>
              </w:tabs>
              <w:spacing w:line="240" w:lineRule="auto"/>
              <w:jc w:val="left"/>
              <w:rPr>
                <w:rFonts w:ascii="Tahoma" w:hAnsi="Tahoma" w:cs="Tahoma"/>
                <w:b/>
                <w:color w:val="000000"/>
              </w:rPr>
            </w:pPr>
            <w:r w:rsidRPr="00864CC0">
              <w:rPr>
                <w:rFonts w:ascii="Tahoma" w:hAnsi="Tahoma" w:cs="Tahoma"/>
                <w:b/>
                <w:color w:val="000000"/>
              </w:rPr>
              <w:t>5</w:t>
            </w:r>
          </w:p>
        </w:tc>
        <w:tc>
          <w:tcPr>
            <w:tcW w:w="6530" w:type="dxa"/>
            <w:shd w:val="clear" w:color="auto" w:fill="auto"/>
          </w:tcPr>
          <w:p w14:paraId="2CBFB15B" w14:textId="1D418883" w:rsidR="000F1726" w:rsidRDefault="000F1726" w:rsidP="003607CF">
            <w:pPr>
              <w:tabs>
                <w:tab w:val="left" w:pos="567"/>
              </w:tabs>
              <w:spacing w:line="240" w:lineRule="auto"/>
              <w:jc w:val="left"/>
              <w:rPr>
                <w:rFonts w:ascii="Tahoma" w:hAnsi="Tahoma" w:cs="Tahoma"/>
                <w:b/>
                <w:color w:val="000000"/>
              </w:rPr>
            </w:pPr>
            <w:r w:rsidRPr="00864CC0">
              <w:rPr>
                <w:rFonts w:ascii="Tahoma" w:hAnsi="Tahoma" w:cs="Tahoma"/>
                <w:b/>
                <w:color w:val="000000"/>
              </w:rPr>
              <w:t>AOCB</w:t>
            </w:r>
          </w:p>
          <w:p w14:paraId="4E6790F4" w14:textId="77777777" w:rsidR="00D86ECA" w:rsidRDefault="00D86ECA" w:rsidP="003607CF">
            <w:pPr>
              <w:tabs>
                <w:tab w:val="left" w:pos="567"/>
              </w:tabs>
              <w:spacing w:line="240" w:lineRule="auto"/>
              <w:jc w:val="left"/>
              <w:rPr>
                <w:rFonts w:ascii="Tahoma" w:hAnsi="Tahoma" w:cs="Tahoma"/>
                <w:bCs/>
                <w:color w:val="000000"/>
              </w:rPr>
            </w:pPr>
          </w:p>
          <w:p w14:paraId="41DB0D63" w14:textId="125B2A04" w:rsidR="00D50749" w:rsidRPr="000004F1" w:rsidRDefault="00D86ECA" w:rsidP="003607CF">
            <w:pPr>
              <w:tabs>
                <w:tab w:val="left" w:pos="567"/>
              </w:tabs>
              <w:spacing w:line="240" w:lineRule="auto"/>
              <w:jc w:val="left"/>
              <w:rPr>
                <w:rFonts w:ascii="Tahoma" w:hAnsi="Tahoma" w:cs="Tahoma"/>
                <w:bCs/>
                <w:color w:val="000000"/>
              </w:rPr>
            </w:pPr>
            <w:r>
              <w:rPr>
                <w:rFonts w:ascii="Tahoma" w:hAnsi="Tahoma" w:cs="Tahoma"/>
                <w:bCs/>
                <w:color w:val="000000"/>
              </w:rPr>
              <w:t>None.</w:t>
            </w:r>
          </w:p>
          <w:p w14:paraId="31EE84E0" w14:textId="5316CCE8" w:rsidR="00A809D1" w:rsidRPr="00A809D1" w:rsidRDefault="00A809D1" w:rsidP="003607CF">
            <w:pPr>
              <w:tabs>
                <w:tab w:val="left" w:pos="567"/>
              </w:tabs>
              <w:spacing w:line="240" w:lineRule="auto"/>
              <w:jc w:val="left"/>
              <w:rPr>
                <w:rFonts w:ascii="Tahoma" w:hAnsi="Tahoma" w:cs="Tahoma"/>
                <w:b/>
                <w:color w:val="000000"/>
              </w:rPr>
            </w:pPr>
          </w:p>
        </w:tc>
        <w:tc>
          <w:tcPr>
            <w:tcW w:w="1375" w:type="dxa"/>
            <w:shd w:val="clear" w:color="auto" w:fill="auto"/>
          </w:tcPr>
          <w:p w14:paraId="266C5B05" w14:textId="77777777" w:rsidR="000F1726" w:rsidRPr="00864CC0" w:rsidRDefault="000F1726" w:rsidP="003607CF">
            <w:pPr>
              <w:tabs>
                <w:tab w:val="left" w:pos="567"/>
              </w:tabs>
              <w:spacing w:line="240" w:lineRule="auto"/>
              <w:jc w:val="left"/>
              <w:rPr>
                <w:rFonts w:ascii="Tahoma" w:hAnsi="Tahoma" w:cs="Tahoma"/>
                <w:b/>
                <w:color w:val="000000"/>
              </w:rPr>
            </w:pPr>
          </w:p>
        </w:tc>
      </w:tr>
      <w:tr w:rsidR="000F1726" w:rsidRPr="00864CC0" w14:paraId="7A74AB83" w14:textId="77777777" w:rsidTr="00583CC9">
        <w:trPr>
          <w:trHeight w:val="247"/>
          <w:tblHeader/>
        </w:trPr>
        <w:tc>
          <w:tcPr>
            <w:tcW w:w="1262" w:type="dxa"/>
            <w:shd w:val="clear" w:color="auto" w:fill="auto"/>
          </w:tcPr>
          <w:p w14:paraId="00D8C02F" w14:textId="77777777" w:rsidR="000F1726" w:rsidRPr="00864CC0" w:rsidRDefault="000F1726" w:rsidP="003607CF">
            <w:pPr>
              <w:tabs>
                <w:tab w:val="left" w:pos="567"/>
              </w:tabs>
              <w:spacing w:line="240" w:lineRule="auto"/>
              <w:jc w:val="left"/>
              <w:rPr>
                <w:rFonts w:ascii="Tahoma" w:hAnsi="Tahoma" w:cs="Tahoma"/>
                <w:b/>
                <w:color w:val="000000"/>
              </w:rPr>
            </w:pPr>
            <w:r w:rsidRPr="00864CC0">
              <w:rPr>
                <w:rFonts w:ascii="Tahoma" w:hAnsi="Tahoma" w:cs="Tahoma"/>
                <w:b/>
                <w:color w:val="000000"/>
              </w:rPr>
              <w:t>6</w:t>
            </w:r>
          </w:p>
        </w:tc>
        <w:tc>
          <w:tcPr>
            <w:tcW w:w="6530" w:type="dxa"/>
            <w:shd w:val="clear" w:color="auto" w:fill="auto"/>
          </w:tcPr>
          <w:p w14:paraId="16518453" w14:textId="77777777" w:rsidR="000F1726" w:rsidRPr="00864CC0" w:rsidRDefault="000F1726" w:rsidP="003607CF">
            <w:pPr>
              <w:tabs>
                <w:tab w:val="left" w:pos="567"/>
              </w:tabs>
              <w:spacing w:line="240" w:lineRule="auto"/>
              <w:jc w:val="left"/>
              <w:rPr>
                <w:rFonts w:ascii="Tahoma" w:hAnsi="Tahoma" w:cs="Tahoma"/>
                <w:b/>
                <w:color w:val="000000"/>
              </w:rPr>
            </w:pPr>
            <w:r w:rsidRPr="00864CC0">
              <w:rPr>
                <w:rFonts w:ascii="Tahoma" w:hAnsi="Tahoma" w:cs="Tahoma"/>
                <w:b/>
                <w:color w:val="000000"/>
              </w:rPr>
              <w:t>Date of next meeting</w:t>
            </w:r>
          </w:p>
          <w:p w14:paraId="504E0EF0" w14:textId="77777777" w:rsidR="000F1726" w:rsidRPr="00864CC0" w:rsidRDefault="000F1726" w:rsidP="003607CF">
            <w:pPr>
              <w:tabs>
                <w:tab w:val="left" w:pos="567"/>
              </w:tabs>
              <w:spacing w:line="240" w:lineRule="auto"/>
              <w:jc w:val="left"/>
              <w:rPr>
                <w:rFonts w:ascii="Tahoma" w:hAnsi="Tahoma" w:cs="Tahoma"/>
                <w:b/>
                <w:color w:val="000000"/>
              </w:rPr>
            </w:pPr>
          </w:p>
          <w:p w14:paraId="5D9FE7A9" w14:textId="421BF8FA" w:rsidR="000F1726" w:rsidRPr="00864CC0" w:rsidRDefault="000F1726" w:rsidP="003607CF">
            <w:pPr>
              <w:tabs>
                <w:tab w:val="left" w:pos="567"/>
              </w:tabs>
              <w:spacing w:line="240" w:lineRule="auto"/>
              <w:jc w:val="left"/>
              <w:rPr>
                <w:rFonts w:ascii="Tahoma" w:hAnsi="Tahoma" w:cs="Tahoma"/>
                <w:b/>
                <w:color w:val="000000"/>
              </w:rPr>
            </w:pPr>
            <w:r w:rsidRPr="00864CC0">
              <w:rPr>
                <w:rFonts w:ascii="Tahoma" w:hAnsi="Tahoma" w:cs="Tahoma"/>
                <w:b/>
                <w:color w:val="000000"/>
              </w:rPr>
              <w:t xml:space="preserve">Wednesday </w:t>
            </w:r>
            <w:r w:rsidR="00E04577">
              <w:rPr>
                <w:rFonts w:ascii="Tahoma" w:hAnsi="Tahoma" w:cs="Tahoma"/>
                <w:b/>
                <w:color w:val="000000"/>
              </w:rPr>
              <w:t>23 February</w:t>
            </w:r>
            <w:r w:rsidRPr="00864CC0">
              <w:rPr>
                <w:rFonts w:ascii="Tahoma" w:hAnsi="Tahoma" w:cs="Tahoma"/>
                <w:b/>
                <w:color w:val="000000"/>
              </w:rPr>
              <w:t xml:space="preserve"> 202</w:t>
            </w:r>
            <w:r w:rsidR="00E04577">
              <w:rPr>
                <w:rFonts w:ascii="Tahoma" w:hAnsi="Tahoma" w:cs="Tahoma"/>
                <w:b/>
                <w:color w:val="000000"/>
              </w:rPr>
              <w:t>2</w:t>
            </w:r>
            <w:r w:rsidR="00C95C90">
              <w:rPr>
                <w:rFonts w:ascii="Tahoma" w:hAnsi="Tahoma" w:cs="Tahoma"/>
                <w:b/>
                <w:color w:val="000000"/>
              </w:rPr>
              <w:t xml:space="preserve"> – </w:t>
            </w:r>
            <w:r w:rsidR="00A975DA">
              <w:rPr>
                <w:rFonts w:ascii="Tahoma" w:hAnsi="Tahoma" w:cs="Tahoma"/>
                <w:b/>
                <w:color w:val="000000"/>
              </w:rPr>
              <w:t>Westhill Holiday Inn</w:t>
            </w:r>
          </w:p>
          <w:p w14:paraId="5A873814" w14:textId="77777777" w:rsidR="000F1726" w:rsidRPr="00864CC0" w:rsidRDefault="000F1726" w:rsidP="003607CF">
            <w:pPr>
              <w:tabs>
                <w:tab w:val="left" w:pos="567"/>
              </w:tabs>
              <w:spacing w:line="240" w:lineRule="auto"/>
              <w:jc w:val="left"/>
              <w:rPr>
                <w:rFonts w:ascii="Tahoma" w:hAnsi="Tahoma" w:cs="Tahoma"/>
                <w:b/>
                <w:color w:val="000000"/>
              </w:rPr>
            </w:pPr>
          </w:p>
        </w:tc>
        <w:tc>
          <w:tcPr>
            <w:tcW w:w="1375" w:type="dxa"/>
            <w:shd w:val="clear" w:color="auto" w:fill="auto"/>
          </w:tcPr>
          <w:p w14:paraId="107F3082" w14:textId="77777777" w:rsidR="000F1726" w:rsidRPr="00864CC0" w:rsidRDefault="000F1726" w:rsidP="003607CF">
            <w:pPr>
              <w:tabs>
                <w:tab w:val="left" w:pos="567"/>
              </w:tabs>
              <w:spacing w:line="240" w:lineRule="auto"/>
              <w:jc w:val="left"/>
              <w:rPr>
                <w:rFonts w:ascii="Tahoma" w:hAnsi="Tahoma" w:cs="Tahoma"/>
                <w:b/>
                <w:color w:val="000000"/>
              </w:rPr>
            </w:pPr>
          </w:p>
        </w:tc>
      </w:tr>
    </w:tbl>
    <w:p w14:paraId="179462C2" w14:textId="46740C17" w:rsidR="007B1C4E" w:rsidRPr="00864CC0" w:rsidRDefault="007B1C4E" w:rsidP="003607CF">
      <w:pPr>
        <w:jc w:val="left"/>
      </w:pPr>
    </w:p>
    <w:p w14:paraId="44A8A6CA" w14:textId="77777777" w:rsidR="00D86ECA" w:rsidRDefault="00D86ECA" w:rsidP="003607CF">
      <w:pPr>
        <w:jc w:val="left"/>
        <w:rPr>
          <w:rFonts w:ascii="Tahoma" w:hAnsi="Tahoma" w:cs="Tahoma"/>
        </w:rPr>
      </w:pPr>
    </w:p>
    <w:p w14:paraId="6D00A9B1" w14:textId="26473047" w:rsidR="00A23CCA" w:rsidRPr="00864CC0" w:rsidRDefault="00A23CCA" w:rsidP="003607CF">
      <w:pPr>
        <w:jc w:val="left"/>
        <w:rPr>
          <w:rFonts w:ascii="Tahoma" w:hAnsi="Tahoma" w:cs="Tahoma"/>
        </w:rPr>
      </w:pPr>
      <w:r w:rsidRPr="00864CC0">
        <w:rPr>
          <w:rFonts w:ascii="Tahoma" w:hAnsi="Tahoma" w:cs="Tahoma"/>
        </w:rPr>
        <w:t xml:space="preserve">The meeting closed at </w:t>
      </w:r>
      <w:r w:rsidR="00A975DA">
        <w:rPr>
          <w:rFonts w:ascii="Tahoma" w:hAnsi="Tahoma" w:cs="Tahoma"/>
        </w:rPr>
        <w:t>12:00</w:t>
      </w:r>
    </w:p>
    <w:p w14:paraId="4286BFAC" w14:textId="77777777" w:rsidR="00A23CCA" w:rsidRPr="00864CC0" w:rsidRDefault="00A23CCA" w:rsidP="003607CF">
      <w:pPr>
        <w:jc w:val="left"/>
      </w:pPr>
    </w:p>
    <w:p w14:paraId="329D6FB0" w14:textId="41E84124" w:rsidR="006F3FCB" w:rsidRPr="00864CC0" w:rsidRDefault="006F3FCB" w:rsidP="003607CF">
      <w:pPr>
        <w:jc w:val="left"/>
      </w:pPr>
      <w:r>
        <w:t xml:space="preserve">Signed: </w:t>
      </w:r>
      <w:bookmarkStart w:id="4" w:name="_Int_MNTt7LLe"/>
      <w:r w:rsidR="00DE5B5D">
        <w:t>Les Allan</w:t>
      </w:r>
      <w:r>
        <w:t>.</w:t>
      </w:r>
      <w:bookmarkEnd w:id="4"/>
    </w:p>
    <w:p w14:paraId="5CD28A27" w14:textId="77777777" w:rsidR="006F3FCB" w:rsidRPr="00864CC0" w:rsidRDefault="006F3FCB" w:rsidP="003607CF">
      <w:pPr>
        <w:jc w:val="left"/>
      </w:pPr>
    </w:p>
    <w:p w14:paraId="140AE47F" w14:textId="4A9ABE55" w:rsidR="006F3FCB" w:rsidRPr="00864CC0" w:rsidRDefault="006F3FCB" w:rsidP="003607CF">
      <w:pPr>
        <w:jc w:val="left"/>
      </w:pPr>
      <w:r w:rsidRPr="00864CC0">
        <w:t xml:space="preserve">Date: </w:t>
      </w:r>
      <w:r w:rsidR="00DE5B5D">
        <w:t>23 February 2022</w:t>
      </w:r>
    </w:p>
    <w:p w14:paraId="00EC85F3" w14:textId="77777777" w:rsidR="006F3FCB" w:rsidRPr="00864CC0" w:rsidRDefault="006F3FCB" w:rsidP="003607CF">
      <w:pPr>
        <w:jc w:val="left"/>
      </w:pPr>
    </w:p>
    <w:sectPr w:rsidR="006F3FCB" w:rsidRPr="00864CC0" w:rsidSect="00726EBE">
      <w:footerReference w:type="default" r:id="rId10"/>
      <w:headerReference w:type="first" r:id="rId11"/>
      <w:footerReference w:type="first" r:id="rId12"/>
      <w:pgSz w:w="11906" w:h="16838"/>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A6902" w14:textId="77777777" w:rsidR="00C1541B" w:rsidRDefault="00C1541B" w:rsidP="00A17A20">
      <w:pPr>
        <w:spacing w:line="240" w:lineRule="auto"/>
      </w:pPr>
      <w:r>
        <w:separator/>
      </w:r>
    </w:p>
  </w:endnote>
  <w:endnote w:type="continuationSeparator" w:id="0">
    <w:p w14:paraId="05EE190F" w14:textId="77777777" w:rsidR="00C1541B" w:rsidRDefault="00C1541B" w:rsidP="00A17A20">
      <w:pPr>
        <w:spacing w:line="240" w:lineRule="auto"/>
      </w:pPr>
      <w:r>
        <w:continuationSeparator/>
      </w:r>
    </w:p>
  </w:endnote>
  <w:endnote w:type="continuationNotice" w:id="1">
    <w:p w14:paraId="4118C7F0" w14:textId="77777777" w:rsidR="00C1541B" w:rsidRDefault="00C154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F6B3" w14:textId="387EA9C1" w:rsidR="006C4009" w:rsidRPr="008E20DD" w:rsidRDefault="006C4009">
    <w:pPr>
      <w:pStyle w:val="Footer"/>
      <w:rPr>
        <w:rFonts w:ascii="Tahoma" w:hAnsi="Tahoma" w:cs="Tahoma"/>
      </w:rPr>
    </w:pPr>
    <w:r w:rsidRPr="008E20DD">
      <w:rPr>
        <w:rFonts w:ascii="Tahoma" w:hAnsi="Tahoma" w:cs="Tahoma"/>
      </w:rPr>
      <w:t xml:space="preserve">Page </w:t>
    </w:r>
    <w:sdt>
      <w:sdtPr>
        <w:rPr>
          <w:rFonts w:ascii="Tahoma" w:hAnsi="Tahoma" w:cs="Tahoma"/>
        </w:rPr>
        <w:id w:val="-519781152"/>
        <w:docPartObj>
          <w:docPartGallery w:val="Page Numbers (Bottom of Page)"/>
          <w:docPartUnique/>
        </w:docPartObj>
      </w:sdtPr>
      <w:sdtEndPr>
        <w:rPr>
          <w:noProof/>
        </w:rPr>
      </w:sdtEndPr>
      <w:sdtContent>
        <w:r w:rsidRPr="008E20DD">
          <w:rPr>
            <w:rFonts w:ascii="Tahoma" w:hAnsi="Tahoma" w:cs="Tahoma"/>
          </w:rPr>
          <w:fldChar w:fldCharType="begin"/>
        </w:r>
        <w:r w:rsidRPr="008E20DD">
          <w:rPr>
            <w:rFonts w:ascii="Tahoma" w:hAnsi="Tahoma" w:cs="Tahoma"/>
          </w:rPr>
          <w:instrText xml:space="preserve"> PAGE   \* MERGEFORMAT </w:instrText>
        </w:r>
        <w:r w:rsidRPr="008E20DD">
          <w:rPr>
            <w:rFonts w:ascii="Tahoma" w:hAnsi="Tahoma" w:cs="Tahoma"/>
          </w:rPr>
          <w:fldChar w:fldCharType="separate"/>
        </w:r>
        <w:r w:rsidRPr="008E20DD">
          <w:rPr>
            <w:rFonts w:ascii="Tahoma" w:hAnsi="Tahoma" w:cs="Tahoma"/>
            <w:noProof/>
          </w:rPr>
          <w:t>2</w:t>
        </w:r>
        <w:r w:rsidRPr="008E20DD">
          <w:rPr>
            <w:rFonts w:ascii="Tahoma" w:hAnsi="Tahoma" w:cs="Tahoma"/>
            <w:noProof/>
          </w:rPr>
          <w:fldChar w:fldCharType="end"/>
        </w:r>
      </w:sdtContent>
    </w:sdt>
  </w:p>
  <w:p w14:paraId="33BFFC45" w14:textId="77777777" w:rsidR="006C4009" w:rsidRDefault="006C40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EAF58" w14:textId="48B19718" w:rsidR="006C4009" w:rsidRPr="000A42EE" w:rsidRDefault="006C4009">
    <w:pPr>
      <w:pStyle w:val="Footer"/>
      <w:rPr>
        <w:rFonts w:ascii="Tahoma" w:hAnsi="Tahoma" w:cs="Tahoma"/>
      </w:rPr>
    </w:pPr>
    <w:r w:rsidRPr="000A42EE">
      <w:rPr>
        <w:rFonts w:ascii="Tahoma" w:hAnsi="Tahoma" w:cs="Tahoma"/>
      </w:rPr>
      <w:t xml:space="preserve">Page </w:t>
    </w:r>
    <w:sdt>
      <w:sdtPr>
        <w:rPr>
          <w:rFonts w:ascii="Tahoma" w:hAnsi="Tahoma" w:cs="Tahoma"/>
        </w:rPr>
        <w:id w:val="-893957891"/>
        <w:docPartObj>
          <w:docPartGallery w:val="Page Numbers (Bottom of Page)"/>
          <w:docPartUnique/>
        </w:docPartObj>
      </w:sdtPr>
      <w:sdtEndPr>
        <w:rPr>
          <w:noProof/>
        </w:rPr>
      </w:sdtEndPr>
      <w:sdtContent>
        <w:r w:rsidRPr="000A42EE">
          <w:rPr>
            <w:rFonts w:ascii="Tahoma" w:hAnsi="Tahoma" w:cs="Tahoma"/>
          </w:rPr>
          <w:fldChar w:fldCharType="begin"/>
        </w:r>
        <w:r w:rsidRPr="000A42EE">
          <w:rPr>
            <w:rFonts w:ascii="Tahoma" w:hAnsi="Tahoma" w:cs="Tahoma"/>
          </w:rPr>
          <w:instrText xml:space="preserve"> PAGE   \* MERGEFORMAT </w:instrText>
        </w:r>
        <w:r w:rsidRPr="000A42EE">
          <w:rPr>
            <w:rFonts w:ascii="Tahoma" w:hAnsi="Tahoma" w:cs="Tahoma"/>
          </w:rPr>
          <w:fldChar w:fldCharType="separate"/>
        </w:r>
        <w:r w:rsidRPr="000A42EE">
          <w:rPr>
            <w:rFonts w:ascii="Tahoma" w:hAnsi="Tahoma" w:cs="Tahoma"/>
            <w:noProof/>
          </w:rPr>
          <w:t>2</w:t>
        </w:r>
        <w:r w:rsidRPr="000A42EE">
          <w:rPr>
            <w:rFonts w:ascii="Tahoma" w:hAnsi="Tahoma" w:cs="Tahoma"/>
            <w:noProof/>
          </w:rPr>
          <w:fldChar w:fldCharType="end"/>
        </w:r>
      </w:sdtContent>
    </w:sdt>
  </w:p>
  <w:p w14:paraId="7EB16263" w14:textId="77777777" w:rsidR="006C4009" w:rsidRDefault="006C4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FC3A5" w14:textId="77777777" w:rsidR="00C1541B" w:rsidRDefault="00C1541B" w:rsidP="00A17A20">
      <w:pPr>
        <w:spacing w:line="240" w:lineRule="auto"/>
      </w:pPr>
      <w:r>
        <w:separator/>
      </w:r>
    </w:p>
  </w:footnote>
  <w:footnote w:type="continuationSeparator" w:id="0">
    <w:p w14:paraId="0AA30B27" w14:textId="77777777" w:rsidR="00C1541B" w:rsidRDefault="00C1541B" w:rsidP="00A17A20">
      <w:pPr>
        <w:spacing w:line="240" w:lineRule="auto"/>
      </w:pPr>
      <w:r>
        <w:continuationSeparator/>
      </w:r>
    </w:p>
  </w:footnote>
  <w:footnote w:type="continuationNotice" w:id="1">
    <w:p w14:paraId="1EC677B4" w14:textId="77777777" w:rsidR="00C1541B" w:rsidRDefault="00C1541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C898" w14:textId="68947DBC" w:rsidR="006C4009" w:rsidRDefault="006C4009" w:rsidP="00595BAB">
    <w:pPr>
      <w:pStyle w:val="Header"/>
      <w:jc w:val="right"/>
    </w:pPr>
    <w:r>
      <w:rPr>
        <w:rFonts w:ascii="Tahoma" w:hAnsi="Tahoma" w:cs="Tahoma"/>
        <w:b/>
        <w:noProof/>
        <w:color w:val="000000"/>
        <w:lang w:eastAsia="en-GB"/>
      </w:rPr>
      <w:drawing>
        <wp:inline distT="0" distB="0" distL="0" distR="0" wp14:anchorId="682A044B" wp14:editId="2EF39DC8">
          <wp:extent cx="1980000" cy="1080000"/>
          <wp:effectExtent l="0" t="0" r="127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prey Housing 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1080000"/>
                  </a:xfrm>
                  <a:prstGeom prst="rect">
                    <a:avLst/>
                  </a:prstGeom>
                </pic:spPr>
              </pic:pic>
            </a:graphicData>
          </a:graphic>
        </wp:inline>
      </w:drawing>
    </w:r>
  </w:p>
  <w:p w14:paraId="14152E8A" w14:textId="77777777" w:rsidR="006C4009" w:rsidRDefault="006C4009">
    <w:pPr>
      <w:pStyle w:val="Header"/>
    </w:pPr>
  </w:p>
</w:hdr>
</file>

<file path=word/intelligence2.xml><?xml version="1.0" encoding="utf-8"?>
<int2:intelligence xmlns:int2="http://schemas.microsoft.com/office/intelligence/2020/intelligence" xmlns:oel="http://schemas.microsoft.com/office/2019/extlst">
  <int2:observations>
    <int2:textHash int2:hashCode="6X/4wpXdfDElP/" int2:id="eSjGzr9L">
      <int2:state int2:value="Rejected" int2:type="AugLoop_Text_Critique"/>
    </int2:textHash>
    <int2:textHash int2:hashCode="MzEyvhOLqazpQR" int2:id="aIM6g8ac">
      <int2:state int2:value="Rejected" int2:type="AugLoop_Text_Critique"/>
    </int2:textHash>
    <int2:textHash int2:hashCode="IK51sFBdkvgsl0" int2:id="ukH794zI">
      <int2:state int2:value="Rejected" int2:type="AugLoop_Text_Critique"/>
    </int2:textHash>
    <int2:textHash int2:hashCode="GERguUd6maqBlt" int2:id="OKXjCBpB">
      <int2:state int2:value="Rejected" int2:type="AugLoop_Acronyms_AcronymsCritique"/>
    </int2:textHash>
    <int2:textHash int2:hashCode="zXIWtEzjSsNZHl" int2:id="OQ3xHMhI">
      <int2:state int2:value="Rejected" int2:type="AugLoop_Acronyms_AcronymsCritique"/>
    </int2:textHash>
    <int2:textHash int2:hashCode="gNMFxY+X7frpKj" int2:id="CqJyovjv">
      <int2:state int2:value="Rejected" int2:type="AugLoop_Acronyms_AcronymsCritique"/>
    </int2:textHash>
    <int2:textHash int2:hashCode="LlgzktwG8q/dIr" int2:id="zy1BxvTH">
      <int2:state int2:value="Rejected" int2:type="AugLoop_Acronyms_AcronymsCritique"/>
    </int2:textHash>
    <int2:textHash int2:hashCode="m8vCr9A3/LhxCK" int2:id="VsKJXLTa">
      <int2:state int2:value="Rejected" int2:type="AugLoop_Acronyms_AcronymsCritique"/>
    </int2:textHash>
    <int2:textHash int2:hashCode="0AVjNWqcgiq/Yn" int2:id="adXKfh0d">
      <int2:state int2:value="Rejected" int2:type="AugLoop_Acronyms_AcronymsCritique"/>
    </int2:textHash>
    <int2:textHash int2:hashCode="/q50ASYCLKjMk1" int2:id="BqdXAxRi">
      <int2:state int2:value="Rejected" int2:type="LegacyProofing"/>
    </int2:textHash>
    <int2:textHash int2:hashCode="9J9tDk9mM3jh2t" int2:id="aUkIuApk">
      <int2:state int2:value="Rejected" int2:type="LegacyProofing"/>
    </int2:textHash>
    <int2:textHash int2:hashCode="11aXa6dxeBNszZ" int2:id="3pR7GRxf">
      <int2:state int2:value="Rejected" int2:type="LegacyProofing"/>
    </int2:textHash>
    <int2:bookmark int2:bookmarkName="_Int_MNTt7LLe" int2:invalidationBookmarkName="" int2:hashCode="Ugg1wYmI7T9kX4" int2:id="h0bayIXO">
      <int2:state int2:value="Rejected" int2:type="LegacyProofing"/>
    </int2:bookmark>
    <int2:bookmark int2:bookmarkName="_Int_EJ4fj0zz" int2:invalidationBookmarkName="" int2:hashCode="8o1V++vS+funEB" int2:id="l4U4ATpS">
      <int2:state int2:value="Rejected" int2:type="LegacyProofing"/>
    </int2:bookmark>
    <int2:bookmark int2:bookmarkName="_Int_UdTb5yvF" int2:invalidationBookmarkName="" int2:hashCode="i33lLgnrOq2Y05" int2:id="ETh39fAr">
      <int2:state int2:value="Rejected" int2:type="LegacyProofing"/>
    </int2:bookmark>
    <int2:bookmark int2:bookmarkName="_Int_Ci6JrNy5" int2:invalidationBookmarkName="" int2:hashCode="8o1V++vS+funEB" int2:id="xzspU0Q8">
      <int2:state int2:value="Rejected" int2:type="LegacyProofing"/>
    </int2:bookmark>
    <int2:bookmark int2:bookmarkName="_Int_Ew1qNolv" int2:invalidationBookmarkName="" int2:hashCode="9UOS1Ll7a0o0O3" int2:id="jy8neNVF">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529"/>
    <w:multiLevelType w:val="hybridMultilevel"/>
    <w:tmpl w:val="8806ECC0"/>
    <w:lvl w:ilvl="0" w:tplc="08090001">
      <w:start w:val="1"/>
      <w:numFmt w:val="bullet"/>
      <w:lvlText w:val=""/>
      <w:lvlJc w:val="left"/>
      <w:pPr>
        <w:ind w:left="1342" w:hanging="360"/>
      </w:pPr>
      <w:rPr>
        <w:rFonts w:ascii="Symbol" w:hAnsi="Symbol" w:hint="default"/>
      </w:rPr>
    </w:lvl>
    <w:lvl w:ilvl="1" w:tplc="08090003" w:tentative="1">
      <w:start w:val="1"/>
      <w:numFmt w:val="bullet"/>
      <w:lvlText w:val="o"/>
      <w:lvlJc w:val="left"/>
      <w:pPr>
        <w:ind w:left="2062" w:hanging="360"/>
      </w:pPr>
      <w:rPr>
        <w:rFonts w:ascii="Courier New" w:hAnsi="Courier New" w:cs="Courier New" w:hint="default"/>
      </w:rPr>
    </w:lvl>
    <w:lvl w:ilvl="2" w:tplc="08090005" w:tentative="1">
      <w:start w:val="1"/>
      <w:numFmt w:val="bullet"/>
      <w:lvlText w:val=""/>
      <w:lvlJc w:val="left"/>
      <w:pPr>
        <w:ind w:left="2782" w:hanging="360"/>
      </w:pPr>
      <w:rPr>
        <w:rFonts w:ascii="Wingdings" w:hAnsi="Wingdings" w:hint="default"/>
      </w:rPr>
    </w:lvl>
    <w:lvl w:ilvl="3" w:tplc="08090001" w:tentative="1">
      <w:start w:val="1"/>
      <w:numFmt w:val="bullet"/>
      <w:lvlText w:val=""/>
      <w:lvlJc w:val="left"/>
      <w:pPr>
        <w:ind w:left="3502" w:hanging="360"/>
      </w:pPr>
      <w:rPr>
        <w:rFonts w:ascii="Symbol" w:hAnsi="Symbol" w:hint="default"/>
      </w:rPr>
    </w:lvl>
    <w:lvl w:ilvl="4" w:tplc="08090003" w:tentative="1">
      <w:start w:val="1"/>
      <w:numFmt w:val="bullet"/>
      <w:lvlText w:val="o"/>
      <w:lvlJc w:val="left"/>
      <w:pPr>
        <w:ind w:left="4222" w:hanging="360"/>
      </w:pPr>
      <w:rPr>
        <w:rFonts w:ascii="Courier New" w:hAnsi="Courier New" w:cs="Courier New" w:hint="default"/>
      </w:rPr>
    </w:lvl>
    <w:lvl w:ilvl="5" w:tplc="08090005" w:tentative="1">
      <w:start w:val="1"/>
      <w:numFmt w:val="bullet"/>
      <w:lvlText w:val=""/>
      <w:lvlJc w:val="left"/>
      <w:pPr>
        <w:ind w:left="4942" w:hanging="360"/>
      </w:pPr>
      <w:rPr>
        <w:rFonts w:ascii="Wingdings" w:hAnsi="Wingdings" w:hint="default"/>
      </w:rPr>
    </w:lvl>
    <w:lvl w:ilvl="6" w:tplc="08090001" w:tentative="1">
      <w:start w:val="1"/>
      <w:numFmt w:val="bullet"/>
      <w:lvlText w:val=""/>
      <w:lvlJc w:val="left"/>
      <w:pPr>
        <w:ind w:left="5662" w:hanging="360"/>
      </w:pPr>
      <w:rPr>
        <w:rFonts w:ascii="Symbol" w:hAnsi="Symbol" w:hint="default"/>
      </w:rPr>
    </w:lvl>
    <w:lvl w:ilvl="7" w:tplc="08090003" w:tentative="1">
      <w:start w:val="1"/>
      <w:numFmt w:val="bullet"/>
      <w:lvlText w:val="o"/>
      <w:lvlJc w:val="left"/>
      <w:pPr>
        <w:ind w:left="6382" w:hanging="360"/>
      </w:pPr>
      <w:rPr>
        <w:rFonts w:ascii="Courier New" w:hAnsi="Courier New" w:cs="Courier New" w:hint="default"/>
      </w:rPr>
    </w:lvl>
    <w:lvl w:ilvl="8" w:tplc="08090005" w:tentative="1">
      <w:start w:val="1"/>
      <w:numFmt w:val="bullet"/>
      <w:lvlText w:val=""/>
      <w:lvlJc w:val="left"/>
      <w:pPr>
        <w:ind w:left="7102" w:hanging="360"/>
      </w:pPr>
      <w:rPr>
        <w:rFonts w:ascii="Wingdings" w:hAnsi="Wingdings" w:hint="default"/>
      </w:rPr>
    </w:lvl>
  </w:abstractNum>
  <w:abstractNum w:abstractNumId="1" w15:restartNumberingAfterBreak="0">
    <w:nsid w:val="0604066D"/>
    <w:multiLevelType w:val="hybridMultilevel"/>
    <w:tmpl w:val="5BCE7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F19BD"/>
    <w:multiLevelType w:val="hybridMultilevel"/>
    <w:tmpl w:val="1A72C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C7928"/>
    <w:multiLevelType w:val="hybridMultilevel"/>
    <w:tmpl w:val="668C8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F617A"/>
    <w:multiLevelType w:val="hybridMultilevel"/>
    <w:tmpl w:val="C7B02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F5383"/>
    <w:multiLevelType w:val="hybridMultilevel"/>
    <w:tmpl w:val="D4CA0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D4BE9"/>
    <w:multiLevelType w:val="hybridMultilevel"/>
    <w:tmpl w:val="DF7E7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50620"/>
    <w:multiLevelType w:val="hybridMultilevel"/>
    <w:tmpl w:val="901ADD1E"/>
    <w:lvl w:ilvl="0" w:tplc="E140E8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2275B7"/>
    <w:multiLevelType w:val="hybridMultilevel"/>
    <w:tmpl w:val="242E5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A25FAF"/>
    <w:multiLevelType w:val="hybridMultilevel"/>
    <w:tmpl w:val="20560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1A5971"/>
    <w:multiLevelType w:val="hybridMultilevel"/>
    <w:tmpl w:val="8FB0E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8A0CD6"/>
    <w:multiLevelType w:val="hybridMultilevel"/>
    <w:tmpl w:val="5ABC52F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15:restartNumberingAfterBreak="0">
    <w:nsid w:val="2AC46331"/>
    <w:multiLevelType w:val="hybridMultilevel"/>
    <w:tmpl w:val="81309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3784C"/>
    <w:multiLevelType w:val="hybridMultilevel"/>
    <w:tmpl w:val="BA608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75514A"/>
    <w:multiLevelType w:val="hybridMultilevel"/>
    <w:tmpl w:val="07BAB5DA"/>
    <w:lvl w:ilvl="0" w:tplc="E90C38AC">
      <w:start w:val="1"/>
      <w:numFmt w:val="lowerRoman"/>
      <w:lvlText w:val="%1."/>
      <w:lvlJc w:val="left"/>
      <w:pPr>
        <w:ind w:left="720" w:hanging="360"/>
      </w:pPr>
      <w:rPr>
        <w:rFonts w:ascii="Tahoma" w:eastAsia="Times New Roman" w:hAnsi="Tahoma" w:cs="Tahom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883C45"/>
    <w:multiLevelType w:val="hybridMultilevel"/>
    <w:tmpl w:val="E8D4CB54"/>
    <w:lvl w:ilvl="0" w:tplc="08090001">
      <w:start w:val="1"/>
      <w:numFmt w:val="bullet"/>
      <w:lvlText w:val=""/>
      <w:lvlJc w:val="left"/>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3615CC7"/>
    <w:multiLevelType w:val="hybridMultilevel"/>
    <w:tmpl w:val="F4AC2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B24D8D"/>
    <w:multiLevelType w:val="hybridMultilevel"/>
    <w:tmpl w:val="CA0C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602EA7"/>
    <w:multiLevelType w:val="hybridMultilevel"/>
    <w:tmpl w:val="FE4E8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2C0163"/>
    <w:multiLevelType w:val="hybridMultilevel"/>
    <w:tmpl w:val="B756D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343DE9"/>
    <w:multiLevelType w:val="hybridMultilevel"/>
    <w:tmpl w:val="9EFE1882"/>
    <w:lvl w:ilvl="0" w:tplc="FFFFFFFF">
      <w:start w:val="1"/>
      <w:numFmt w:val="decimal"/>
      <w:lvlText w:val="%1."/>
      <w:lvlJc w:val="left"/>
      <w:pPr>
        <w:ind w:left="720" w:hanging="360"/>
      </w:pPr>
      <w:rPr>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8F48CF"/>
    <w:multiLevelType w:val="hybridMultilevel"/>
    <w:tmpl w:val="0446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7A78DE"/>
    <w:multiLevelType w:val="hybridMultilevel"/>
    <w:tmpl w:val="B3729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3157E3"/>
    <w:multiLevelType w:val="hybridMultilevel"/>
    <w:tmpl w:val="C264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F0373C"/>
    <w:multiLevelType w:val="hybridMultilevel"/>
    <w:tmpl w:val="2BE42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90578C"/>
    <w:multiLevelType w:val="hybridMultilevel"/>
    <w:tmpl w:val="6852B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6D1C38"/>
    <w:multiLevelType w:val="hybridMultilevel"/>
    <w:tmpl w:val="68F02F2E"/>
    <w:lvl w:ilvl="0" w:tplc="59CE868A">
      <w:start w:val="1"/>
      <w:numFmt w:val="bullet"/>
      <w:lvlText w:val=""/>
      <w:lvlJc w:val="left"/>
      <w:pPr>
        <w:ind w:left="720" w:hanging="360"/>
      </w:pPr>
      <w:rPr>
        <w:rFonts w:ascii="Symbol" w:hAnsi="Symbol" w:hint="default"/>
      </w:rPr>
    </w:lvl>
    <w:lvl w:ilvl="1" w:tplc="FCD89164">
      <w:start w:val="1"/>
      <w:numFmt w:val="bullet"/>
      <w:lvlText w:val="o"/>
      <w:lvlJc w:val="left"/>
      <w:pPr>
        <w:ind w:left="1440" w:hanging="360"/>
      </w:pPr>
      <w:rPr>
        <w:rFonts w:ascii="Courier New" w:hAnsi="Courier New" w:hint="default"/>
      </w:rPr>
    </w:lvl>
    <w:lvl w:ilvl="2" w:tplc="4A46E12A">
      <w:start w:val="1"/>
      <w:numFmt w:val="bullet"/>
      <w:lvlText w:val=""/>
      <w:lvlJc w:val="left"/>
      <w:pPr>
        <w:ind w:left="2160" w:hanging="360"/>
      </w:pPr>
      <w:rPr>
        <w:rFonts w:ascii="Wingdings" w:hAnsi="Wingdings" w:hint="default"/>
      </w:rPr>
    </w:lvl>
    <w:lvl w:ilvl="3" w:tplc="9A60C8E6">
      <w:start w:val="1"/>
      <w:numFmt w:val="bullet"/>
      <w:lvlText w:val=""/>
      <w:lvlJc w:val="left"/>
      <w:pPr>
        <w:ind w:left="2880" w:hanging="360"/>
      </w:pPr>
      <w:rPr>
        <w:rFonts w:ascii="Symbol" w:hAnsi="Symbol" w:hint="default"/>
      </w:rPr>
    </w:lvl>
    <w:lvl w:ilvl="4" w:tplc="B180291C">
      <w:start w:val="1"/>
      <w:numFmt w:val="bullet"/>
      <w:lvlText w:val="o"/>
      <w:lvlJc w:val="left"/>
      <w:pPr>
        <w:ind w:left="3600" w:hanging="360"/>
      </w:pPr>
      <w:rPr>
        <w:rFonts w:ascii="Courier New" w:hAnsi="Courier New" w:hint="default"/>
      </w:rPr>
    </w:lvl>
    <w:lvl w:ilvl="5" w:tplc="99DE7680">
      <w:start w:val="1"/>
      <w:numFmt w:val="bullet"/>
      <w:lvlText w:val=""/>
      <w:lvlJc w:val="left"/>
      <w:pPr>
        <w:ind w:left="4320" w:hanging="360"/>
      </w:pPr>
      <w:rPr>
        <w:rFonts w:ascii="Wingdings" w:hAnsi="Wingdings" w:hint="default"/>
      </w:rPr>
    </w:lvl>
    <w:lvl w:ilvl="6" w:tplc="A3E62872">
      <w:start w:val="1"/>
      <w:numFmt w:val="bullet"/>
      <w:lvlText w:val=""/>
      <w:lvlJc w:val="left"/>
      <w:pPr>
        <w:ind w:left="5040" w:hanging="360"/>
      </w:pPr>
      <w:rPr>
        <w:rFonts w:ascii="Symbol" w:hAnsi="Symbol" w:hint="default"/>
      </w:rPr>
    </w:lvl>
    <w:lvl w:ilvl="7" w:tplc="19E02E76">
      <w:start w:val="1"/>
      <w:numFmt w:val="bullet"/>
      <w:lvlText w:val="o"/>
      <w:lvlJc w:val="left"/>
      <w:pPr>
        <w:ind w:left="5760" w:hanging="360"/>
      </w:pPr>
      <w:rPr>
        <w:rFonts w:ascii="Courier New" w:hAnsi="Courier New" w:hint="default"/>
      </w:rPr>
    </w:lvl>
    <w:lvl w:ilvl="8" w:tplc="C770AB08">
      <w:start w:val="1"/>
      <w:numFmt w:val="bullet"/>
      <w:lvlText w:val=""/>
      <w:lvlJc w:val="left"/>
      <w:pPr>
        <w:ind w:left="6480" w:hanging="360"/>
      </w:pPr>
      <w:rPr>
        <w:rFonts w:ascii="Wingdings" w:hAnsi="Wingdings" w:hint="default"/>
      </w:rPr>
    </w:lvl>
  </w:abstractNum>
  <w:abstractNum w:abstractNumId="27" w15:restartNumberingAfterBreak="0">
    <w:nsid w:val="5E995A1D"/>
    <w:multiLevelType w:val="hybridMultilevel"/>
    <w:tmpl w:val="C0701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6B449F"/>
    <w:multiLevelType w:val="hybridMultilevel"/>
    <w:tmpl w:val="82300580"/>
    <w:lvl w:ilvl="0" w:tplc="D7F8CC0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F797AD5"/>
    <w:multiLevelType w:val="hybridMultilevel"/>
    <w:tmpl w:val="25AE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996392"/>
    <w:multiLevelType w:val="hybridMultilevel"/>
    <w:tmpl w:val="5E0696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3E6496D"/>
    <w:multiLevelType w:val="hybridMultilevel"/>
    <w:tmpl w:val="4672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C4024B"/>
    <w:multiLevelType w:val="hybridMultilevel"/>
    <w:tmpl w:val="4EBAA3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C733F35"/>
    <w:multiLevelType w:val="hybridMultilevel"/>
    <w:tmpl w:val="3A0E7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8A224E"/>
    <w:multiLevelType w:val="hybridMultilevel"/>
    <w:tmpl w:val="F9C0F83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91914C3"/>
    <w:multiLevelType w:val="hybridMultilevel"/>
    <w:tmpl w:val="71A6847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6" w15:restartNumberingAfterBreak="0">
    <w:nsid w:val="7BF65646"/>
    <w:multiLevelType w:val="hybridMultilevel"/>
    <w:tmpl w:val="07164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DD553C"/>
    <w:multiLevelType w:val="hybridMultilevel"/>
    <w:tmpl w:val="3C32D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431CDA"/>
    <w:multiLevelType w:val="hybridMultilevel"/>
    <w:tmpl w:val="2320C458"/>
    <w:lvl w:ilvl="0" w:tplc="08090017">
      <w:start w:val="1"/>
      <w:numFmt w:val="lowerLetter"/>
      <w:lvlText w:val="%1)"/>
      <w:lvlJc w:val="left"/>
      <w:pPr>
        <w:ind w:left="1155" w:hanging="360"/>
      </w:p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39" w15:restartNumberingAfterBreak="0">
    <w:nsid w:val="7EED2A98"/>
    <w:multiLevelType w:val="hybridMultilevel"/>
    <w:tmpl w:val="76ECB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0163605">
    <w:abstractNumId w:val="26"/>
  </w:num>
  <w:num w:numId="2" w16cid:durableId="255528547">
    <w:abstractNumId w:val="14"/>
  </w:num>
  <w:num w:numId="3" w16cid:durableId="1641769741">
    <w:abstractNumId w:val="8"/>
  </w:num>
  <w:num w:numId="4" w16cid:durableId="618879919">
    <w:abstractNumId w:val="12"/>
  </w:num>
  <w:num w:numId="5" w16cid:durableId="147745773">
    <w:abstractNumId w:val="32"/>
  </w:num>
  <w:num w:numId="6" w16cid:durableId="1237518544">
    <w:abstractNumId w:val="36"/>
  </w:num>
  <w:num w:numId="7" w16cid:durableId="1181820604">
    <w:abstractNumId w:val="7"/>
  </w:num>
  <w:num w:numId="8" w16cid:durableId="978346435">
    <w:abstractNumId w:val="17"/>
  </w:num>
  <w:num w:numId="9" w16cid:durableId="11423552">
    <w:abstractNumId w:val="38"/>
  </w:num>
  <w:num w:numId="10" w16cid:durableId="70125487">
    <w:abstractNumId w:val="18"/>
  </w:num>
  <w:num w:numId="11" w16cid:durableId="680399301">
    <w:abstractNumId w:val="27"/>
  </w:num>
  <w:num w:numId="12" w16cid:durableId="1155103624">
    <w:abstractNumId w:val="0"/>
  </w:num>
  <w:num w:numId="13" w16cid:durableId="1336373205">
    <w:abstractNumId w:val="1"/>
  </w:num>
  <w:num w:numId="14" w16cid:durableId="1014265778">
    <w:abstractNumId w:val="13"/>
  </w:num>
  <w:num w:numId="15" w16cid:durableId="1546942058">
    <w:abstractNumId w:val="33"/>
  </w:num>
  <w:num w:numId="16" w16cid:durableId="1687441990">
    <w:abstractNumId w:val="3"/>
  </w:num>
  <w:num w:numId="17" w16cid:durableId="461729490">
    <w:abstractNumId w:val="35"/>
  </w:num>
  <w:num w:numId="18" w16cid:durableId="1199391934">
    <w:abstractNumId w:val="6"/>
  </w:num>
  <w:num w:numId="19" w16cid:durableId="420756608">
    <w:abstractNumId w:val="24"/>
  </w:num>
  <w:num w:numId="20" w16cid:durableId="1290627768">
    <w:abstractNumId w:val="22"/>
  </w:num>
  <w:num w:numId="21" w16cid:durableId="1951007901">
    <w:abstractNumId w:val="37"/>
  </w:num>
  <w:num w:numId="22" w16cid:durableId="2075543787">
    <w:abstractNumId w:val="30"/>
  </w:num>
  <w:num w:numId="23" w16cid:durableId="551116809">
    <w:abstractNumId w:val="21"/>
  </w:num>
  <w:num w:numId="24" w16cid:durableId="273828972">
    <w:abstractNumId w:val="5"/>
  </w:num>
  <w:num w:numId="25" w16cid:durableId="1717968955">
    <w:abstractNumId w:val="39"/>
  </w:num>
  <w:num w:numId="26" w16cid:durableId="1420909661">
    <w:abstractNumId w:val="29"/>
  </w:num>
  <w:num w:numId="27" w16cid:durableId="258410600">
    <w:abstractNumId w:val="10"/>
  </w:num>
  <w:num w:numId="28" w16cid:durableId="1866938100">
    <w:abstractNumId w:val="31"/>
  </w:num>
  <w:num w:numId="29" w16cid:durableId="9647046">
    <w:abstractNumId w:val="34"/>
  </w:num>
  <w:num w:numId="30" w16cid:durableId="405539317">
    <w:abstractNumId w:val="25"/>
  </w:num>
  <w:num w:numId="31" w16cid:durableId="1202093615">
    <w:abstractNumId w:val="28"/>
  </w:num>
  <w:num w:numId="32" w16cid:durableId="1822385237">
    <w:abstractNumId w:val="11"/>
  </w:num>
  <w:num w:numId="33" w16cid:durableId="1893928122">
    <w:abstractNumId w:val="23"/>
  </w:num>
  <w:num w:numId="34" w16cid:durableId="834690169">
    <w:abstractNumId w:val="4"/>
  </w:num>
  <w:num w:numId="35" w16cid:durableId="449713839">
    <w:abstractNumId w:val="9"/>
  </w:num>
  <w:num w:numId="36" w16cid:durableId="1343627148">
    <w:abstractNumId w:val="16"/>
  </w:num>
  <w:num w:numId="37" w16cid:durableId="880282565">
    <w:abstractNumId w:val="20"/>
  </w:num>
  <w:num w:numId="38" w16cid:durableId="1090472245">
    <w:abstractNumId w:val="15"/>
  </w:num>
  <w:num w:numId="39" w16cid:durableId="1589846625">
    <w:abstractNumId w:val="19"/>
  </w:num>
  <w:num w:numId="40" w16cid:durableId="751002675">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20"/>
    <w:rsid w:val="000004F1"/>
    <w:rsid w:val="000007E1"/>
    <w:rsid w:val="00004971"/>
    <w:rsid w:val="00010CF7"/>
    <w:rsid w:val="00017BD5"/>
    <w:rsid w:val="00031D87"/>
    <w:rsid w:val="000414CF"/>
    <w:rsid w:val="0004204E"/>
    <w:rsid w:val="00045C31"/>
    <w:rsid w:val="000577CA"/>
    <w:rsid w:val="00072EE1"/>
    <w:rsid w:val="00085C37"/>
    <w:rsid w:val="00086EB4"/>
    <w:rsid w:val="00087A41"/>
    <w:rsid w:val="00091EE1"/>
    <w:rsid w:val="00097C9A"/>
    <w:rsid w:val="000A0524"/>
    <w:rsid w:val="000A1925"/>
    <w:rsid w:val="000A3858"/>
    <w:rsid w:val="000A42EE"/>
    <w:rsid w:val="000A4476"/>
    <w:rsid w:val="000B1E88"/>
    <w:rsid w:val="000B51F3"/>
    <w:rsid w:val="000B722B"/>
    <w:rsid w:val="000C1C84"/>
    <w:rsid w:val="000D2769"/>
    <w:rsid w:val="000D6E50"/>
    <w:rsid w:val="000E33E8"/>
    <w:rsid w:val="000E6B70"/>
    <w:rsid w:val="000E76C1"/>
    <w:rsid w:val="000F1726"/>
    <w:rsid w:val="000F5EFD"/>
    <w:rsid w:val="00101AA4"/>
    <w:rsid w:val="0010452A"/>
    <w:rsid w:val="001072C7"/>
    <w:rsid w:val="00110B53"/>
    <w:rsid w:val="00111524"/>
    <w:rsid w:val="00115B40"/>
    <w:rsid w:val="00116CD1"/>
    <w:rsid w:val="001207B5"/>
    <w:rsid w:val="001223D9"/>
    <w:rsid w:val="00123854"/>
    <w:rsid w:val="00123D97"/>
    <w:rsid w:val="00130305"/>
    <w:rsid w:val="001367D9"/>
    <w:rsid w:val="0015142C"/>
    <w:rsid w:val="00152F3E"/>
    <w:rsid w:val="00154FAE"/>
    <w:rsid w:val="00170C6F"/>
    <w:rsid w:val="001724BD"/>
    <w:rsid w:val="0018034D"/>
    <w:rsid w:val="001825A2"/>
    <w:rsid w:val="00183DC9"/>
    <w:rsid w:val="001868FB"/>
    <w:rsid w:val="00192EDE"/>
    <w:rsid w:val="00195472"/>
    <w:rsid w:val="001A3B1F"/>
    <w:rsid w:val="001A42DA"/>
    <w:rsid w:val="001A4F62"/>
    <w:rsid w:val="001B0E8B"/>
    <w:rsid w:val="001B25E9"/>
    <w:rsid w:val="001B6218"/>
    <w:rsid w:val="001B6823"/>
    <w:rsid w:val="001C063A"/>
    <w:rsid w:val="001C36BB"/>
    <w:rsid w:val="001C3777"/>
    <w:rsid w:val="001C3C0A"/>
    <w:rsid w:val="001C5EC5"/>
    <w:rsid w:val="001D07DC"/>
    <w:rsid w:val="001D7631"/>
    <w:rsid w:val="001E3951"/>
    <w:rsid w:val="0020655D"/>
    <w:rsid w:val="00214489"/>
    <w:rsid w:val="00214952"/>
    <w:rsid w:val="00214995"/>
    <w:rsid w:val="0022163A"/>
    <w:rsid w:val="00231C36"/>
    <w:rsid w:val="002339C5"/>
    <w:rsid w:val="0024390A"/>
    <w:rsid w:val="002439F1"/>
    <w:rsid w:val="002457CC"/>
    <w:rsid w:val="00245C74"/>
    <w:rsid w:val="00250D61"/>
    <w:rsid w:val="00261D70"/>
    <w:rsid w:val="002710E8"/>
    <w:rsid w:val="002713B9"/>
    <w:rsid w:val="002732E1"/>
    <w:rsid w:val="00275FF2"/>
    <w:rsid w:val="00276FD0"/>
    <w:rsid w:val="00276FE6"/>
    <w:rsid w:val="002841B3"/>
    <w:rsid w:val="00287475"/>
    <w:rsid w:val="002936D6"/>
    <w:rsid w:val="002A1592"/>
    <w:rsid w:val="002A3CB0"/>
    <w:rsid w:val="002A40B0"/>
    <w:rsid w:val="002A6FF9"/>
    <w:rsid w:val="002B5CEB"/>
    <w:rsid w:val="002C19D0"/>
    <w:rsid w:val="002C5E77"/>
    <w:rsid w:val="002C6066"/>
    <w:rsid w:val="002C727A"/>
    <w:rsid w:val="002D587D"/>
    <w:rsid w:val="002F091C"/>
    <w:rsid w:val="002F214B"/>
    <w:rsid w:val="003005BA"/>
    <w:rsid w:val="003109AB"/>
    <w:rsid w:val="00310F7C"/>
    <w:rsid w:val="00315E68"/>
    <w:rsid w:val="00316157"/>
    <w:rsid w:val="00322120"/>
    <w:rsid w:val="00323D81"/>
    <w:rsid w:val="00324770"/>
    <w:rsid w:val="003261DA"/>
    <w:rsid w:val="003324DC"/>
    <w:rsid w:val="00332F1E"/>
    <w:rsid w:val="00334DFC"/>
    <w:rsid w:val="003419E6"/>
    <w:rsid w:val="00343DEF"/>
    <w:rsid w:val="00344597"/>
    <w:rsid w:val="00357CE2"/>
    <w:rsid w:val="003607CF"/>
    <w:rsid w:val="003611A2"/>
    <w:rsid w:val="00361831"/>
    <w:rsid w:val="00367E77"/>
    <w:rsid w:val="00373633"/>
    <w:rsid w:val="003740E9"/>
    <w:rsid w:val="00380693"/>
    <w:rsid w:val="0039052C"/>
    <w:rsid w:val="00390C96"/>
    <w:rsid w:val="0039266B"/>
    <w:rsid w:val="00393671"/>
    <w:rsid w:val="003945E1"/>
    <w:rsid w:val="00394634"/>
    <w:rsid w:val="003A0DDC"/>
    <w:rsid w:val="003A19D4"/>
    <w:rsid w:val="003A6A21"/>
    <w:rsid w:val="003A6A74"/>
    <w:rsid w:val="003C6F08"/>
    <w:rsid w:val="003D7A9A"/>
    <w:rsid w:val="003E0DE5"/>
    <w:rsid w:val="003E12E1"/>
    <w:rsid w:val="003E159A"/>
    <w:rsid w:val="003E432C"/>
    <w:rsid w:val="003E48F8"/>
    <w:rsid w:val="003F1079"/>
    <w:rsid w:val="003F2570"/>
    <w:rsid w:val="003F3275"/>
    <w:rsid w:val="003F3F69"/>
    <w:rsid w:val="003F635A"/>
    <w:rsid w:val="003F68A2"/>
    <w:rsid w:val="00406EA4"/>
    <w:rsid w:val="004075CB"/>
    <w:rsid w:val="00412C44"/>
    <w:rsid w:val="00413838"/>
    <w:rsid w:val="00417AF2"/>
    <w:rsid w:val="00420B19"/>
    <w:rsid w:val="00420E7D"/>
    <w:rsid w:val="00446116"/>
    <w:rsid w:val="004577A1"/>
    <w:rsid w:val="00463143"/>
    <w:rsid w:val="00473E2F"/>
    <w:rsid w:val="004743EC"/>
    <w:rsid w:val="00475575"/>
    <w:rsid w:val="004759B7"/>
    <w:rsid w:val="00476F93"/>
    <w:rsid w:val="004903C9"/>
    <w:rsid w:val="00490AE9"/>
    <w:rsid w:val="0049115C"/>
    <w:rsid w:val="004A1FB5"/>
    <w:rsid w:val="004A3531"/>
    <w:rsid w:val="004A35D1"/>
    <w:rsid w:val="004C5892"/>
    <w:rsid w:val="004C6458"/>
    <w:rsid w:val="004D5536"/>
    <w:rsid w:val="004D5CD7"/>
    <w:rsid w:val="004E21B1"/>
    <w:rsid w:val="005007EE"/>
    <w:rsid w:val="005024E1"/>
    <w:rsid w:val="00507B80"/>
    <w:rsid w:val="005113F4"/>
    <w:rsid w:val="0051267A"/>
    <w:rsid w:val="00525868"/>
    <w:rsid w:val="00532188"/>
    <w:rsid w:val="00532AA8"/>
    <w:rsid w:val="005343AC"/>
    <w:rsid w:val="0054199B"/>
    <w:rsid w:val="005472EF"/>
    <w:rsid w:val="00550081"/>
    <w:rsid w:val="00551484"/>
    <w:rsid w:val="00553115"/>
    <w:rsid w:val="005601B1"/>
    <w:rsid w:val="00571EA6"/>
    <w:rsid w:val="0057209E"/>
    <w:rsid w:val="00572EB7"/>
    <w:rsid w:val="00576040"/>
    <w:rsid w:val="005761FB"/>
    <w:rsid w:val="005836B1"/>
    <w:rsid w:val="00583CC9"/>
    <w:rsid w:val="00586975"/>
    <w:rsid w:val="0059235F"/>
    <w:rsid w:val="005950F2"/>
    <w:rsid w:val="00595BAB"/>
    <w:rsid w:val="005A6CB1"/>
    <w:rsid w:val="005A70A2"/>
    <w:rsid w:val="005B060E"/>
    <w:rsid w:val="005B4A8A"/>
    <w:rsid w:val="005C2480"/>
    <w:rsid w:val="005C3DBC"/>
    <w:rsid w:val="005C55AC"/>
    <w:rsid w:val="005D1DD6"/>
    <w:rsid w:val="005D2AC2"/>
    <w:rsid w:val="005D572B"/>
    <w:rsid w:val="005D5BD1"/>
    <w:rsid w:val="005E4185"/>
    <w:rsid w:val="005E55FA"/>
    <w:rsid w:val="005E5A8A"/>
    <w:rsid w:val="005E65A2"/>
    <w:rsid w:val="005E6D57"/>
    <w:rsid w:val="005F37FE"/>
    <w:rsid w:val="00610D79"/>
    <w:rsid w:val="006154D5"/>
    <w:rsid w:val="006221A5"/>
    <w:rsid w:val="00630B30"/>
    <w:rsid w:val="006332B4"/>
    <w:rsid w:val="00640BB0"/>
    <w:rsid w:val="006418F4"/>
    <w:rsid w:val="00644C31"/>
    <w:rsid w:val="006471C4"/>
    <w:rsid w:val="00647448"/>
    <w:rsid w:val="00660EE6"/>
    <w:rsid w:val="00663F42"/>
    <w:rsid w:val="00665C81"/>
    <w:rsid w:val="00671483"/>
    <w:rsid w:val="00674DF2"/>
    <w:rsid w:val="006807E1"/>
    <w:rsid w:val="0068239F"/>
    <w:rsid w:val="00685374"/>
    <w:rsid w:val="00690B92"/>
    <w:rsid w:val="00690FED"/>
    <w:rsid w:val="00691EFA"/>
    <w:rsid w:val="00694E3F"/>
    <w:rsid w:val="006A3AA5"/>
    <w:rsid w:val="006A586D"/>
    <w:rsid w:val="006C084A"/>
    <w:rsid w:val="006C2159"/>
    <w:rsid w:val="006C4009"/>
    <w:rsid w:val="006C45D6"/>
    <w:rsid w:val="006C7EF9"/>
    <w:rsid w:val="006D098D"/>
    <w:rsid w:val="006D2BCB"/>
    <w:rsid w:val="006E3A48"/>
    <w:rsid w:val="006E4AFD"/>
    <w:rsid w:val="006F3FCB"/>
    <w:rsid w:val="006F7CDB"/>
    <w:rsid w:val="007013AC"/>
    <w:rsid w:val="0070215D"/>
    <w:rsid w:val="00702213"/>
    <w:rsid w:val="007025F3"/>
    <w:rsid w:val="00702F6C"/>
    <w:rsid w:val="00705E7C"/>
    <w:rsid w:val="00712A4D"/>
    <w:rsid w:val="007141AD"/>
    <w:rsid w:val="00714A4C"/>
    <w:rsid w:val="00720FDE"/>
    <w:rsid w:val="00724EFF"/>
    <w:rsid w:val="00726C49"/>
    <w:rsid w:val="00726EBE"/>
    <w:rsid w:val="00733EDA"/>
    <w:rsid w:val="0074133D"/>
    <w:rsid w:val="007429DC"/>
    <w:rsid w:val="007450FA"/>
    <w:rsid w:val="00754347"/>
    <w:rsid w:val="00755AD7"/>
    <w:rsid w:val="0076646E"/>
    <w:rsid w:val="0078248C"/>
    <w:rsid w:val="007824F4"/>
    <w:rsid w:val="00783547"/>
    <w:rsid w:val="0078386D"/>
    <w:rsid w:val="00784370"/>
    <w:rsid w:val="007851C5"/>
    <w:rsid w:val="00787779"/>
    <w:rsid w:val="007906BE"/>
    <w:rsid w:val="007B1C4E"/>
    <w:rsid w:val="007C3578"/>
    <w:rsid w:val="007C3870"/>
    <w:rsid w:val="007C4925"/>
    <w:rsid w:val="007D0A0B"/>
    <w:rsid w:val="007D3588"/>
    <w:rsid w:val="007E1DCD"/>
    <w:rsid w:val="007E68DA"/>
    <w:rsid w:val="007F4833"/>
    <w:rsid w:val="008107F3"/>
    <w:rsid w:val="00811920"/>
    <w:rsid w:val="00820F71"/>
    <w:rsid w:val="00826B6A"/>
    <w:rsid w:val="00830749"/>
    <w:rsid w:val="00836C05"/>
    <w:rsid w:val="00841EE2"/>
    <w:rsid w:val="0084313E"/>
    <w:rsid w:val="0084366B"/>
    <w:rsid w:val="008515FD"/>
    <w:rsid w:val="0085356D"/>
    <w:rsid w:val="00853AF9"/>
    <w:rsid w:val="00864CC0"/>
    <w:rsid w:val="00866359"/>
    <w:rsid w:val="00870054"/>
    <w:rsid w:val="00873E14"/>
    <w:rsid w:val="0087410F"/>
    <w:rsid w:val="008774EC"/>
    <w:rsid w:val="00887E32"/>
    <w:rsid w:val="0089008F"/>
    <w:rsid w:val="00896C29"/>
    <w:rsid w:val="008A0D8C"/>
    <w:rsid w:val="008A134D"/>
    <w:rsid w:val="008A3C25"/>
    <w:rsid w:val="008A6429"/>
    <w:rsid w:val="008A723E"/>
    <w:rsid w:val="008B0572"/>
    <w:rsid w:val="008B1542"/>
    <w:rsid w:val="008B75D9"/>
    <w:rsid w:val="008C0578"/>
    <w:rsid w:val="008C0766"/>
    <w:rsid w:val="008C3B12"/>
    <w:rsid w:val="008D0BAE"/>
    <w:rsid w:val="008D1845"/>
    <w:rsid w:val="008D4C93"/>
    <w:rsid w:val="008D4E3B"/>
    <w:rsid w:val="008E20DD"/>
    <w:rsid w:val="008E251E"/>
    <w:rsid w:val="008E3124"/>
    <w:rsid w:val="008E7A57"/>
    <w:rsid w:val="008F2A79"/>
    <w:rsid w:val="00900FCC"/>
    <w:rsid w:val="0090325D"/>
    <w:rsid w:val="00910268"/>
    <w:rsid w:val="0091165F"/>
    <w:rsid w:val="009116BA"/>
    <w:rsid w:val="00912651"/>
    <w:rsid w:val="00912733"/>
    <w:rsid w:val="00912A84"/>
    <w:rsid w:val="00914416"/>
    <w:rsid w:val="00917008"/>
    <w:rsid w:val="00922D72"/>
    <w:rsid w:val="00930C5F"/>
    <w:rsid w:val="009311BA"/>
    <w:rsid w:val="00936748"/>
    <w:rsid w:val="009447DD"/>
    <w:rsid w:val="00946FD1"/>
    <w:rsid w:val="00960147"/>
    <w:rsid w:val="009712FA"/>
    <w:rsid w:val="00971962"/>
    <w:rsid w:val="00977F81"/>
    <w:rsid w:val="00985AEB"/>
    <w:rsid w:val="00990093"/>
    <w:rsid w:val="00991D9D"/>
    <w:rsid w:val="0099701E"/>
    <w:rsid w:val="009A603D"/>
    <w:rsid w:val="009B1AFF"/>
    <w:rsid w:val="009C38E2"/>
    <w:rsid w:val="009C7ECC"/>
    <w:rsid w:val="009D567E"/>
    <w:rsid w:val="009E0AB5"/>
    <w:rsid w:val="009E65DD"/>
    <w:rsid w:val="009F0ACB"/>
    <w:rsid w:val="009F42D3"/>
    <w:rsid w:val="009F64B4"/>
    <w:rsid w:val="00A10F15"/>
    <w:rsid w:val="00A1498A"/>
    <w:rsid w:val="00A17A20"/>
    <w:rsid w:val="00A17D89"/>
    <w:rsid w:val="00A22366"/>
    <w:rsid w:val="00A23CCA"/>
    <w:rsid w:val="00A25F5A"/>
    <w:rsid w:val="00A306EB"/>
    <w:rsid w:val="00A338C0"/>
    <w:rsid w:val="00A3605B"/>
    <w:rsid w:val="00A41C7A"/>
    <w:rsid w:val="00A447AF"/>
    <w:rsid w:val="00A55DCC"/>
    <w:rsid w:val="00A61500"/>
    <w:rsid w:val="00A6627C"/>
    <w:rsid w:val="00A745FE"/>
    <w:rsid w:val="00A75FDC"/>
    <w:rsid w:val="00A76602"/>
    <w:rsid w:val="00A809D1"/>
    <w:rsid w:val="00A817A2"/>
    <w:rsid w:val="00A83365"/>
    <w:rsid w:val="00A8483C"/>
    <w:rsid w:val="00A90C44"/>
    <w:rsid w:val="00A93936"/>
    <w:rsid w:val="00A93F5F"/>
    <w:rsid w:val="00A95270"/>
    <w:rsid w:val="00A96DDD"/>
    <w:rsid w:val="00A96FB9"/>
    <w:rsid w:val="00A975DA"/>
    <w:rsid w:val="00AA0F35"/>
    <w:rsid w:val="00AA6A19"/>
    <w:rsid w:val="00AB7D40"/>
    <w:rsid w:val="00AC05F1"/>
    <w:rsid w:val="00AC0E07"/>
    <w:rsid w:val="00AC14DF"/>
    <w:rsid w:val="00AC74E5"/>
    <w:rsid w:val="00AD48EB"/>
    <w:rsid w:val="00AD76A3"/>
    <w:rsid w:val="00AD7D31"/>
    <w:rsid w:val="00AE2CC6"/>
    <w:rsid w:val="00AF0242"/>
    <w:rsid w:val="00B02973"/>
    <w:rsid w:val="00B10A30"/>
    <w:rsid w:val="00B145C9"/>
    <w:rsid w:val="00B153E6"/>
    <w:rsid w:val="00B15F3B"/>
    <w:rsid w:val="00B1646E"/>
    <w:rsid w:val="00B33B04"/>
    <w:rsid w:val="00B33E99"/>
    <w:rsid w:val="00B35FF3"/>
    <w:rsid w:val="00B41388"/>
    <w:rsid w:val="00B43BB1"/>
    <w:rsid w:val="00B50FA1"/>
    <w:rsid w:val="00B53829"/>
    <w:rsid w:val="00B54BC9"/>
    <w:rsid w:val="00B62926"/>
    <w:rsid w:val="00B63B51"/>
    <w:rsid w:val="00B70E47"/>
    <w:rsid w:val="00B710A7"/>
    <w:rsid w:val="00B72E43"/>
    <w:rsid w:val="00B779B1"/>
    <w:rsid w:val="00B80D95"/>
    <w:rsid w:val="00B81549"/>
    <w:rsid w:val="00B8604F"/>
    <w:rsid w:val="00B86477"/>
    <w:rsid w:val="00B87D8A"/>
    <w:rsid w:val="00B953B5"/>
    <w:rsid w:val="00B975F1"/>
    <w:rsid w:val="00BA5B79"/>
    <w:rsid w:val="00BA6E23"/>
    <w:rsid w:val="00BA6E76"/>
    <w:rsid w:val="00BB1255"/>
    <w:rsid w:val="00BB1E41"/>
    <w:rsid w:val="00BC4D8E"/>
    <w:rsid w:val="00BC510C"/>
    <w:rsid w:val="00BC6094"/>
    <w:rsid w:val="00BD2252"/>
    <w:rsid w:val="00BD2C0D"/>
    <w:rsid w:val="00BE098E"/>
    <w:rsid w:val="00C02865"/>
    <w:rsid w:val="00C1541B"/>
    <w:rsid w:val="00C155EF"/>
    <w:rsid w:val="00C167BA"/>
    <w:rsid w:val="00C20CE1"/>
    <w:rsid w:val="00C232BE"/>
    <w:rsid w:val="00C30F45"/>
    <w:rsid w:val="00C31156"/>
    <w:rsid w:val="00C31DDF"/>
    <w:rsid w:val="00C33C0B"/>
    <w:rsid w:val="00C34ACB"/>
    <w:rsid w:val="00C35337"/>
    <w:rsid w:val="00C36FB0"/>
    <w:rsid w:val="00C40A86"/>
    <w:rsid w:val="00C51225"/>
    <w:rsid w:val="00C52C23"/>
    <w:rsid w:val="00C554D3"/>
    <w:rsid w:val="00C61FA0"/>
    <w:rsid w:val="00C63632"/>
    <w:rsid w:val="00C64827"/>
    <w:rsid w:val="00C7110B"/>
    <w:rsid w:val="00C83ABB"/>
    <w:rsid w:val="00C847C4"/>
    <w:rsid w:val="00C906BB"/>
    <w:rsid w:val="00C923B2"/>
    <w:rsid w:val="00C92427"/>
    <w:rsid w:val="00C952AC"/>
    <w:rsid w:val="00C9598F"/>
    <w:rsid w:val="00C95C90"/>
    <w:rsid w:val="00C975F2"/>
    <w:rsid w:val="00CB07B2"/>
    <w:rsid w:val="00CB1283"/>
    <w:rsid w:val="00CB12B7"/>
    <w:rsid w:val="00CB5308"/>
    <w:rsid w:val="00CC4599"/>
    <w:rsid w:val="00CD0F2C"/>
    <w:rsid w:val="00CD1B39"/>
    <w:rsid w:val="00CD2744"/>
    <w:rsid w:val="00CD4F79"/>
    <w:rsid w:val="00CE1845"/>
    <w:rsid w:val="00CF406E"/>
    <w:rsid w:val="00CF4BCB"/>
    <w:rsid w:val="00CF5F5F"/>
    <w:rsid w:val="00D01431"/>
    <w:rsid w:val="00D05056"/>
    <w:rsid w:val="00D0600C"/>
    <w:rsid w:val="00D11DDD"/>
    <w:rsid w:val="00D31685"/>
    <w:rsid w:val="00D33E81"/>
    <w:rsid w:val="00D343F7"/>
    <w:rsid w:val="00D375EE"/>
    <w:rsid w:val="00D41D4E"/>
    <w:rsid w:val="00D455C1"/>
    <w:rsid w:val="00D50749"/>
    <w:rsid w:val="00D51340"/>
    <w:rsid w:val="00D54E7A"/>
    <w:rsid w:val="00D64FB0"/>
    <w:rsid w:val="00D65C76"/>
    <w:rsid w:val="00D70ADD"/>
    <w:rsid w:val="00D73D9B"/>
    <w:rsid w:val="00D7477D"/>
    <w:rsid w:val="00D76CCD"/>
    <w:rsid w:val="00D81275"/>
    <w:rsid w:val="00D83A90"/>
    <w:rsid w:val="00D86ECA"/>
    <w:rsid w:val="00D926F3"/>
    <w:rsid w:val="00D92BD5"/>
    <w:rsid w:val="00DA1C39"/>
    <w:rsid w:val="00DA22AA"/>
    <w:rsid w:val="00DA3632"/>
    <w:rsid w:val="00DA3A2B"/>
    <w:rsid w:val="00DA4955"/>
    <w:rsid w:val="00DA6315"/>
    <w:rsid w:val="00DA72BD"/>
    <w:rsid w:val="00DA7F21"/>
    <w:rsid w:val="00DB1084"/>
    <w:rsid w:val="00DB2385"/>
    <w:rsid w:val="00DB591F"/>
    <w:rsid w:val="00DC2CF7"/>
    <w:rsid w:val="00DC3667"/>
    <w:rsid w:val="00DC5FB1"/>
    <w:rsid w:val="00DC649F"/>
    <w:rsid w:val="00DD089B"/>
    <w:rsid w:val="00DD1E03"/>
    <w:rsid w:val="00DD3B3F"/>
    <w:rsid w:val="00DD41EA"/>
    <w:rsid w:val="00DD7015"/>
    <w:rsid w:val="00DD752C"/>
    <w:rsid w:val="00DE3973"/>
    <w:rsid w:val="00DE5B5D"/>
    <w:rsid w:val="00DF00B7"/>
    <w:rsid w:val="00DF21D9"/>
    <w:rsid w:val="00E004ED"/>
    <w:rsid w:val="00E022AA"/>
    <w:rsid w:val="00E04577"/>
    <w:rsid w:val="00E14DDD"/>
    <w:rsid w:val="00E15A10"/>
    <w:rsid w:val="00E169B5"/>
    <w:rsid w:val="00E16D3E"/>
    <w:rsid w:val="00E22CC7"/>
    <w:rsid w:val="00E32355"/>
    <w:rsid w:val="00E34F81"/>
    <w:rsid w:val="00E35EA3"/>
    <w:rsid w:val="00E375E3"/>
    <w:rsid w:val="00E41DAC"/>
    <w:rsid w:val="00E43EDC"/>
    <w:rsid w:val="00E51A33"/>
    <w:rsid w:val="00E53A5E"/>
    <w:rsid w:val="00E6660D"/>
    <w:rsid w:val="00E6686B"/>
    <w:rsid w:val="00E71097"/>
    <w:rsid w:val="00E8350D"/>
    <w:rsid w:val="00E838B2"/>
    <w:rsid w:val="00E86E81"/>
    <w:rsid w:val="00E906A7"/>
    <w:rsid w:val="00E928D4"/>
    <w:rsid w:val="00E93A12"/>
    <w:rsid w:val="00EA01C1"/>
    <w:rsid w:val="00EA039A"/>
    <w:rsid w:val="00EA1BA2"/>
    <w:rsid w:val="00EA4E7D"/>
    <w:rsid w:val="00EA66DE"/>
    <w:rsid w:val="00EB28E0"/>
    <w:rsid w:val="00EB316B"/>
    <w:rsid w:val="00EC1BD0"/>
    <w:rsid w:val="00EC2ADC"/>
    <w:rsid w:val="00EC4780"/>
    <w:rsid w:val="00ED172A"/>
    <w:rsid w:val="00ED3F1B"/>
    <w:rsid w:val="00ED41B7"/>
    <w:rsid w:val="00ED4696"/>
    <w:rsid w:val="00EE0674"/>
    <w:rsid w:val="00EE5360"/>
    <w:rsid w:val="00EE7675"/>
    <w:rsid w:val="00EF049A"/>
    <w:rsid w:val="00EF60BB"/>
    <w:rsid w:val="00EF636F"/>
    <w:rsid w:val="00EF7931"/>
    <w:rsid w:val="00F0314B"/>
    <w:rsid w:val="00F12827"/>
    <w:rsid w:val="00F1326F"/>
    <w:rsid w:val="00F14AA5"/>
    <w:rsid w:val="00F208E0"/>
    <w:rsid w:val="00F22173"/>
    <w:rsid w:val="00F25C97"/>
    <w:rsid w:val="00F27C56"/>
    <w:rsid w:val="00F27C93"/>
    <w:rsid w:val="00F30B76"/>
    <w:rsid w:val="00F37B10"/>
    <w:rsid w:val="00F37F05"/>
    <w:rsid w:val="00F419A1"/>
    <w:rsid w:val="00F57F8C"/>
    <w:rsid w:val="00F60E72"/>
    <w:rsid w:val="00F67CFE"/>
    <w:rsid w:val="00F71129"/>
    <w:rsid w:val="00F746E7"/>
    <w:rsid w:val="00F810B1"/>
    <w:rsid w:val="00F815F0"/>
    <w:rsid w:val="00F92EEF"/>
    <w:rsid w:val="00F95198"/>
    <w:rsid w:val="00F9590E"/>
    <w:rsid w:val="00F95EFF"/>
    <w:rsid w:val="00FA3AE6"/>
    <w:rsid w:val="00FB2022"/>
    <w:rsid w:val="00FB2170"/>
    <w:rsid w:val="00FB3E43"/>
    <w:rsid w:val="00FD34F0"/>
    <w:rsid w:val="00FE203D"/>
    <w:rsid w:val="00FE2B83"/>
    <w:rsid w:val="00FF77A7"/>
    <w:rsid w:val="01350D0F"/>
    <w:rsid w:val="0352C816"/>
    <w:rsid w:val="035D4BCB"/>
    <w:rsid w:val="03A97A6C"/>
    <w:rsid w:val="052BD3D2"/>
    <w:rsid w:val="052F42BE"/>
    <w:rsid w:val="05A7C7E5"/>
    <w:rsid w:val="073B649A"/>
    <w:rsid w:val="07650249"/>
    <w:rsid w:val="0A33C974"/>
    <w:rsid w:val="0C7D1F6C"/>
    <w:rsid w:val="0CA2D006"/>
    <w:rsid w:val="0CBCDE25"/>
    <w:rsid w:val="0CC3C098"/>
    <w:rsid w:val="0CEC8444"/>
    <w:rsid w:val="0D14CE37"/>
    <w:rsid w:val="0D4A935B"/>
    <w:rsid w:val="0D534A2F"/>
    <w:rsid w:val="0F3B2F9A"/>
    <w:rsid w:val="0F600709"/>
    <w:rsid w:val="10815B78"/>
    <w:rsid w:val="11107169"/>
    <w:rsid w:val="116D56EA"/>
    <w:rsid w:val="11C6645D"/>
    <w:rsid w:val="137DFA66"/>
    <w:rsid w:val="1478B4C3"/>
    <w:rsid w:val="15429A43"/>
    <w:rsid w:val="15663104"/>
    <w:rsid w:val="16815230"/>
    <w:rsid w:val="1758A5F7"/>
    <w:rsid w:val="1842841E"/>
    <w:rsid w:val="18B8C69B"/>
    <w:rsid w:val="18C48708"/>
    <w:rsid w:val="1952D36A"/>
    <w:rsid w:val="195432F4"/>
    <w:rsid w:val="1B4041AD"/>
    <w:rsid w:val="1CB69C70"/>
    <w:rsid w:val="1F4AFC95"/>
    <w:rsid w:val="1FB5394E"/>
    <w:rsid w:val="20A7CAD9"/>
    <w:rsid w:val="20ACB628"/>
    <w:rsid w:val="20BC30DE"/>
    <w:rsid w:val="21511705"/>
    <w:rsid w:val="219A45A9"/>
    <w:rsid w:val="21DC8827"/>
    <w:rsid w:val="2239A897"/>
    <w:rsid w:val="22829D57"/>
    <w:rsid w:val="238F88A7"/>
    <w:rsid w:val="241B7228"/>
    <w:rsid w:val="2632A529"/>
    <w:rsid w:val="26C99D30"/>
    <w:rsid w:val="278C763E"/>
    <w:rsid w:val="27D30A47"/>
    <w:rsid w:val="28B40E26"/>
    <w:rsid w:val="29EA3757"/>
    <w:rsid w:val="29F224DD"/>
    <w:rsid w:val="2A63F7E9"/>
    <w:rsid w:val="2D272854"/>
    <w:rsid w:val="2DC7C28E"/>
    <w:rsid w:val="2DDAB080"/>
    <w:rsid w:val="2E12FDC1"/>
    <w:rsid w:val="2EC1A489"/>
    <w:rsid w:val="2EC2F8B5"/>
    <w:rsid w:val="2EC6017B"/>
    <w:rsid w:val="2EF44F79"/>
    <w:rsid w:val="2F234FAA"/>
    <w:rsid w:val="2FA2F8F6"/>
    <w:rsid w:val="2FE185C8"/>
    <w:rsid w:val="3009EA4A"/>
    <w:rsid w:val="31494A57"/>
    <w:rsid w:val="31FD36C2"/>
    <w:rsid w:val="328F2B1C"/>
    <w:rsid w:val="32CFE3D2"/>
    <w:rsid w:val="32E96681"/>
    <w:rsid w:val="33C8B1C7"/>
    <w:rsid w:val="34D5154A"/>
    <w:rsid w:val="34D7897F"/>
    <w:rsid w:val="35688607"/>
    <w:rsid w:val="357968D1"/>
    <w:rsid w:val="36863009"/>
    <w:rsid w:val="36B7EB03"/>
    <w:rsid w:val="36D3B345"/>
    <w:rsid w:val="37254910"/>
    <w:rsid w:val="388D23C8"/>
    <w:rsid w:val="3903725E"/>
    <w:rsid w:val="392F5C43"/>
    <w:rsid w:val="39584DB3"/>
    <w:rsid w:val="3A5AF596"/>
    <w:rsid w:val="3A9F42BF"/>
    <w:rsid w:val="3B6DDEA6"/>
    <w:rsid w:val="3BA17BBD"/>
    <w:rsid w:val="3C33EAD6"/>
    <w:rsid w:val="3C77206A"/>
    <w:rsid w:val="3C9082F0"/>
    <w:rsid w:val="3D505784"/>
    <w:rsid w:val="3D83B168"/>
    <w:rsid w:val="3E129679"/>
    <w:rsid w:val="3E3F2CB9"/>
    <w:rsid w:val="3F589E31"/>
    <w:rsid w:val="3FCB8B46"/>
    <w:rsid w:val="40140E0A"/>
    <w:rsid w:val="40DD2BA1"/>
    <w:rsid w:val="414A373B"/>
    <w:rsid w:val="414F8776"/>
    <w:rsid w:val="43322B54"/>
    <w:rsid w:val="434F4F77"/>
    <w:rsid w:val="44DC78D5"/>
    <w:rsid w:val="44FF4726"/>
    <w:rsid w:val="461DA85E"/>
    <w:rsid w:val="478D2421"/>
    <w:rsid w:val="47B895F4"/>
    <w:rsid w:val="47CF114A"/>
    <w:rsid w:val="48BB76F9"/>
    <w:rsid w:val="48BC20A2"/>
    <w:rsid w:val="49303EFD"/>
    <w:rsid w:val="495A995B"/>
    <w:rsid w:val="4A57F103"/>
    <w:rsid w:val="4AF669BC"/>
    <w:rsid w:val="4B3408DB"/>
    <w:rsid w:val="4B9C11D6"/>
    <w:rsid w:val="4BF3C164"/>
    <w:rsid w:val="4BFE994C"/>
    <w:rsid w:val="4C0E32C0"/>
    <w:rsid w:val="4C35152E"/>
    <w:rsid w:val="4C90E5F1"/>
    <w:rsid w:val="4CA680EB"/>
    <w:rsid w:val="4CDD001D"/>
    <w:rsid w:val="4CE51022"/>
    <w:rsid w:val="4E223552"/>
    <w:rsid w:val="4E35DBA0"/>
    <w:rsid w:val="4E715694"/>
    <w:rsid w:val="4F25340A"/>
    <w:rsid w:val="50DA2CC8"/>
    <w:rsid w:val="5168488B"/>
    <w:rsid w:val="517DD9A7"/>
    <w:rsid w:val="51BAF567"/>
    <w:rsid w:val="520BC070"/>
    <w:rsid w:val="5486C0F0"/>
    <w:rsid w:val="54A0439F"/>
    <w:rsid w:val="5522084D"/>
    <w:rsid w:val="55A2B0B8"/>
    <w:rsid w:val="56057F4C"/>
    <w:rsid w:val="563C1400"/>
    <w:rsid w:val="57A14FAD"/>
    <w:rsid w:val="57B8C139"/>
    <w:rsid w:val="57D7E461"/>
    <w:rsid w:val="580710FE"/>
    <w:rsid w:val="59B28477"/>
    <w:rsid w:val="5A9099B8"/>
    <w:rsid w:val="5C5D70E9"/>
    <w:rsid w:val="5D8595C8"/>
    <w:rsid w:val="5D9ACCAE"/>
    <w:rsid w:val="5D9F8773"/>
    <w:rsid w:val="5E934A66"/>
    <w:rsid w:val="5F0E9116"/>
    <w:rsid w:val="5F0F51B2"/>
    <w:rsid w:val="5F10D6C7"/>
    <w:rsid w:val="5F21D1A4"/>
    <w:rsid w:val="60CBF8F1"/>
    <w:rsid w:val="6235EA6E"/>
    <w:rsid w:val="6336FCC9"/>
    <w:rsid w:val="635CA8BF"/>
    <w:rsid w:val="637ABDC0"/>
    <w:rsid w:val="63E71D2B"/>
    <w:rsid w:val="6403BC3C"/>
    <w:rsid w:val="658E0A62"/>
    <w:rsid w:val="65FA08C4"/>
    <w:rsid w:val="671871AA"/>
    <w:rsid w:val="67F1A9E8"/>
    <w:rsid w:val="6831BA95"/>
    <w:rsid w:val="68714D5B"/>
    <w:rsid w:val="697451EC"/>
    <w:rsid w:val="6974666F"/>
    <w:rsid w:val="69A6FCDC"/>
    <w:rsid w:val="6A0C0B99"/>
    <w:rsid w:val="6AB4518A"/>
    <w:rsid w:val="6B67E610"/>
    <w:rsid w:val="6BC13CDA"/>
    <w:rsid w:val="6BC9AECF"/>
    <w:rsid w:val="6BFD4BE6"/>
    <w:rsid w:val="6C2FAACC"/>
    <w:rsid w:val="6D44BE7E"/>
    <w:rsid w:val="6D56EB03"/>
    <w:rsid w:val="6E176B8E"/>
    <w:rsid w:val="6F0A5B32"/>
    <w:rsid w:val="70CA1FFC"/>
    <w:rsid w:val="7189A3CB"/>
    <w:rsid w:val="72175601"/>
    <w:rsid w:val="72D4D1E5"/>
    <w:rsid w:val="740CBCBF"/>
    <w:rsid w:val="74FEBE09"/>
    <w:rsid w:val="750B05E3"/>
    <w:rsid w:val="75B59E19"/>
    <w:rsid w:val="75ED18C3"/>
    <w:rsid w:val="75EE9F9F"/>
    <w:rsid w:val="7665CC78"/>
    <w:rsid w:val="767EC8C2"/>
    <w:rsid w:val="76AB9AEB"/>
    <w:rsid w:val="76DEB075"/>
    <w:rsid w:val="772EC3B6"/>
    <w:rsid w:val="778952DE"/>
    <w:rsid w:val="77FF5473"/>
    <w:rsid w:val="79141555"/>
    <w:rsid w:val="794D4032"/>
    <w:rsid w:val="7989D1A4"/>
    <w:rsid w:val="7A3C8C62"/>
    <w:rsid w:val="7A481E5D"/>
    <w:rsid w:val="7AED6A25"/>
    <w:rsid w:val="7B23BE02"/>
    <w:rsid w:val="7C0234D9"/>
    <w:rsid w:val="7C1A090A"/>
    <w:rsid w:val="7C662336"/>
    <w:rsid w:val="7C6E333B"/>
    <w:rsid w:val="7ED03FF1"/>
    <w:rsid w:val="7FA99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C454"/>
  <w15:chartTrackingRefBased/>
  <w15:docId w15:val="{D9EC6C44-B0A2-46D9-B8BE-05E0CFBD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A20"/>
    <w:pPr>
      <w:widowControl w:val="0"/>
      <w:adjustRightInd w:val="0"/>
      <w:spacing w:after="0" w:line="360" w:lineRule="atLeast"/>
      <w:jc w:val="both"/>
      <w:textAlignment w:val="baseline"/>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A20"/>
    <w:pPr>
      <w:tabs>
        <w:tab w:val="center" w:pos="4513"/>
        <w:tab w:val="right" w:pos="9026"/>
      </w:tabs>
      <w:spacing w:line="240" w:lineRule="auto"/>
    </w:pPr>
  </w:style>
  <w:style w:type="character" w:customStyle="1" w:styleId="HeaderChar">
    <w:name w:val="Header Char"/>
    <w:basedOn w:val="DefaultParagraphFont"/>
    <w:link w:val="Header"/>
    <w:uiPriority w:val="99"/>
    <w:rsid w:val="00A17A20"/>
    <w:rPr>
      <w:rFonts w:ascii="Arial" w:eastAsia="Times New Roman" w:hAnsi="Arial" w:cs="Arial"/>
      <w:sz w:val="24"/>
      <w:szCs w:val="24"/>
    </w:rPr>
  </w:style>
  <w:style w:type="paragraph" w:styleId="Footer">
    <w:name w:val="footer"/>
    <w:basedOn w:val="Normal"/>
    <w:link w:val="FooterChar"/>
    <w:uiPriority w:val="99"/>
    <w:unhideWhenUsed/>
    <w:rsid w:val="00A17A20"/>
    <w:pPr>
      <w:tabs>
        <w:tab w:val="center" w:pos="4513"/>
        <w:tab w:val="right" w:pos="9026"/>
      </w:tabs>
      <w:spacing w:line="240" w:lineRule="auto"/>
    </w:pPr>
  </w:style>
  <w:style w:type="character" w:customStyle="1" w:styleId="FooterChar">
    <w:name w:val="Footer Char"/>
    <w:basedOn w:val="DefaultParagraphFont"/>
    <w:link w:val="Footer"/>
    <w:uiPriority w:val="99"/>
    <w:rsid w:val="00A17A20"/>
    <w:rPr>
      <w:rFonts w:ascii="Arial" w:eastAsia="Times New Roman" w:hAnsi="Arial" w:cs="Arial"/>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830749"/>
    <w:pPr>
      <w:ind w:left="720"/>
      <w:contextualSpacing/>
    </w:pPr>
  </w:style>
  <w:style w:type="paragraph" w:styleId="NoSpacing">
    <w:name w:val="No Spacing"/>
    <w:uiPriority w:val="1"/>
    <w:qFormat/>
    <w:rsid w:val="003005BA"/>
    <w:pPr>
      <w:spacing w:after="0" w:line="240" w:lineRule="auto"/>
      <w:jc w:val="both"/>
    </w:pPr>
    <w:rPr>
      <w:rFonts w:ascii="Arial" w:eastAsia="Calibri" w:hAnsi="Arial" w:cs="Arial"/>
      <w:lang w:val="en-US"/>
    </w:rPr>
  </w:style>
  <w:style w:type="paragraph" w:styleId="BalloonText">
    <w:name w:val="Balloon Text"/>
    <w:basedOn w:val="Normal"/>
    <w:link w:val="BalloonTextChar"/>
    <w:uiPriority w:val="99"/>
    <w:semiHidden/>
    <w:unhideWhenUsed/>
    <w:rsid w:val="002149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952"/>
    <w:rPr>
      <w:rFonts w:ascii="Segoe UI" w:eastAsia="Times New Roman" w:hAnsi="Segoe UI" w:cs="Segoe UI"/>
      <w:sz w:val="18"/>
      <w:szCs w:val="18"/>
    </w:rPr>
  </w:style>
  <w:style w:type="paragraph" w:customStyle="1" w:styleId="xmsonormal">
    <w:name w:val="x_msonormal"/>
    <w:basedOn w:val="Normal"/>
    <w:rsid w:val="00946FD1"/>
    <w:pPr>
      <w:widowControl/>
      <w:adjustRightInd/>
      <w:spacing w:line="240" w:lineRule="auto"/>
      <w:jc w:val="left"/>
      <w:textAlignment w:val="auto"/>
    </w:pPr>
    <w:rPr>
      <w:rFonts w:ascii="Calibri" w:eastAsiaTheme="minorHAnsi" w:hAnsi="Calibri" w:cs="Calibri"/>
      <w:sz w:val="22"/>
      <w:szCs w:val="22"/>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10452A"/>
    <w:rPr>
      <w:rFonts w:ascii="Arial" w:eastAsia="Times New Roman" w:hAnsi="Arial" w:cs="Arial"/>
      <w:sz w:val="24"/>
      <w:szCs w:val="24"/>
    </w:rPr>
  </w:style>
  <w:style w:type="paragraph" w:customStyle="1" w:styleId="Default">
    <w:name w:val="Default"/>
    <w:rsid w:val="00826B6A"/>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2611">
      <w:bodyDiv w:val="1"/>
      <w:marLeft w:val="0"/>
      <w:marRight w:val="0"/>
      <w:marTop w:val="0"/>
      <w:marBottom w:val="0"/>
      <w:divBdr>
        <w:top w:val="none" w:sz="0" w:space="0" w:color="auto"/>
        <w:left w:val="none" w:sz="0" w:space="0" w:color="auto"/>
        <w:bottom w:val="none" w:sz="0" w:space="0" w:color="auto"/>
        <w:right w:val="none" w:sz="0" w:space="0" w:color="auto"/>
      </w:divBdr>
    </w:div>
    <w:div w:id="35593275">
      <w:bodyDiv w:val="1"/>
      <w:marLeft w:val="0"/>
      <w:marRight w:val="0"/>
      <w:marTop w:val="0"/>
      <w:marBottom w:val="0"/>
      <w:divBdr>
        <w:top w:val="none" w:sz="0" w:space="0" w:color="auto"/>
        <w:left w:val="none" w:sz="0" w:space="0" w:color="auto"/>
        <w:bottom w:val="none" w:sz="0" w:space="0" w:color="auto"/>
        <w:right w:val="none" w:sz="0" w:space="0" w:color="auto"/>
      </w:divBdr>
    </w:div>
    <w:div w:id="217133993">
      <w:bodyDiv w:val="1"/>
      <w:marLeft w:val="0"/>
      <w:marRight w:val="0"/>
      <w:marTop w:val="0"/>
      <w:marBottom w:val="0"/>
      <w:divBdr>
        <w:top w:val="none" w:sz="0" w:space="0" w:color="auto"/>
        <w:left w:val="none" w:sz="0" w:space="0" w:color="auto"/>
        <w:bottom w:val="none" w:sz="0" w:space="0" w:color="auto"/>
        <w:right w:val="none" w:sz="0" w:space="0" w:color="auto"/>
      </w:divBdr>
    </w:div>
    <w:div w:id="254361570">
      <w:bodyDiv w:val="1"/>
      <w:marLeft w:val="0"/>
      <w:marRight w:val="0"/>
      <w:marTop w:val="0"/>
      <w:marBottom w:val="0"/>
      <w:divBdr>
        <w:top w:val="none" w:sz="0" w:space="0" w:color="auto"/>
        <w:left w:val="none" w:sz="0" w:space="0" w:color="auto"/>
        <w:bottom w:val="none" w:sz="0" w:space="0" w:color="auto"/>
        <w:right w:val="none" w:sz="0" w:space="0" w:color="auto"/>
      </w:divBdr>
    </w:div>
    <w:div w:id="422383636">
      <w:bodyDiv w:val="1"/>
      <w:marLeft w:val="0"/>
      <w:marRight w:val="0"/>
      <w:marTop w:val="0"/>
      <w:marBottom w:val="0"/>
      <w:divBdr>
        <w:top w:val="none" w:sz="0" w:space="0" w:color="auto"/>
        <w:left w:val="none" w:sz="0" w:space="0" w:color="auto"/>
        <w:bottom w:val="none" w:sz="0" w:space="0" w:color="auto"/>
        <w:right w:val="none" w:sz="0" w:space="0" w:color="auto"/>
      </w:divBdr>
    </w:div>
    <w:div w:id="613634139">
      <w:bodyDiv w:val="1"/>
      <w:marLeft w:val="0"/>
      <w:marRight w:val="0"/>
      <w:marTop w:val="0"/>
      <w:marBottom w:val="0"/>
      <w:divBdr>
        <w:top w:val="none" w:sz="0" w:space="0" w:color="auto"/>
        <w:left w:val="none" w:sz="0" w:space="0" w:color="auto"/>
        <w:bottom w:val="none" w:sz="0" w:space="0" w:color="auto"/>
        <w:right w:val="none" w:sz="0" w:space="0" w:color="auto"/>
      </w:divBdr>
    </w:div>
    <w:div w:id="973213104">
      <w:bodyDiv w:val="1"/>
      <w:marLeft w:val="0"/>
      <w:marRight w:val="0"/>
      <w:marTop w:val="0"/>
      <w:marBottom w:val="0"/>
      <w:divBdr>
        <w:top w:val="none" w:sz="0" w:space="0" w:color="auto"/>
        <w:left w:val="none" w:sz="0" w:space="0" w:color="auto"/>
        <w:bottom w:val="none" w:sz="0" w:space="0" w:color="auto"/>
        <w:right w:val="none" w:sz="0" w:space="0" w:color="auto"/>
      </w:divBdr>
    </w:div>
    <w:div w:id="1262184667">
      <w:bodyDiv w:val="1"/>
      <w:marLeft w:val="0"/>
      <w:marRight w:val="0"/>
      <w:marTop w:val="0"/>
      <w:marBottom w:val="0"/>
      <w:divBdr>
        <w:top w:val="none" w:sz="0" w:space="0" w:color="auto"/>
        <w:left w:val="none" w:sz="0" w:space="0" w:color="auto"/>
        <w:bottom w:val="none" w:sz="0" w:space="0" w:color="auto"/>
        <w:right w:val="none" w:sz="0" w:space="0" w:color="auto"/>
      </w:divBdr>
    </w:div>
    <w:div w:id="1497186488">
      <w:bodyDiv w:val="1"/>
      <w:marLeft w:val="0"/>
      <w:marRight w:val="0"/>
      <w:marTop w:val="0"/>
      <w:marBottom w:val="0"/>
      <w:divBdr>
        <w:top w:val="none" w:sz="0" w:space="0" w:color="auto"/>
        <w:left w:val="none" w:sz="0" w:space="0" w:color="auto"/>
        <w:bottom w:val="none" w:sz="0" w:space="0" w:color="auto"/>
        <w:right w:val="none" w:sz="0" w:space="0" w:color="auto"/>
      </w:divBdr>
    </w:div>
    <w:div w:id="1743604763">
      <w:bodyDiv w:val="1"/>
      <w:marLeft w:val="0"/>
      <w:marRight w:val="0"/>
      <w:marTop w:val="0"/>
      <w:marBottom w:val="0"/>
      <w:divBdr>
        <w:top w:val="none" w:sz="0" w:space="0" w:color="auto"/>
        <w:left w:val="none" w:sz="0" w:space="0" w:color="auto"/>
        <w:bottom w:val="none" w:sz="0" w:space="0" w:color="auto"/>
        <w:right w:val="none" w:sz="0" w:space="0" w:color="auto"/>
      </w:divBdr>
    </w:div>
    <w:div w:id="1845362740">
      <w:bodyDiv w:val="1"/>
      <w:marLeft w:val="0"/>
      <w:marRight w:val="0"/>
      <w:marTop w:val="0"/>
      <w:marBottom w:val="0"/>
      <w:divBdr>
        <w:top w:val="none" w:sz="0" w:space="0" w:color="auto"/>
        <w:left w:val="none" w:sz="0" w:space="0" w:color="auto"/>
        <w:bottom w:val="none" w:sz="0" w:space="0" w:color="auto"/>
        <w:right w:val="none" w:sz="0" w:space="0" w:color="auto"/>
      </w:divBdr>
    </w:div>
    <w:div w:id="2042316205">
      <w:bodyDiv w:val="1"/>
      <w:marLeft w:val="0"/>
      <w:marRight w:val="0"/>
      <w:marTop w:val="0"/>
      <w:marBottom w:val="0"/>
      <w:divBdr>
        <w:top w:val="none" w:sz="0" w:space="0" w:color="auto"/>
        <w:left w:val="none" w:sz="0" w:space="0" w:color="auto"/>
        <w:bottom w:val="none" w:sz="0" w:space="0" w:color="auto"/>
        <w:right w:val="none" w:sz="0" w:space="0" w:color="auto"/>
      </w:divBdr>
    </w:div>
    <w:div w:id="212920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8577A63678D34E9FB4E0F9BE5B04DC" ma:contentTypeVersion="4" ma:contentTypeDescription="Create a new document." ma:contentTypeScope="" ma:versionID="10652844b2406209bcea8a24de944778">
  <xsd:schema xmlns:xsd="http://www.w3.org/2001/XMLSchema" xmlns:xs="http://www.w3.org/2001/XMLSchema" xmlns:p="http://schemas.microsoft.com/office/2006/metadata/properties" xmlns:ns2="5da1fa8a-620a-457d-b281-b80a19af0e8b" targetNamespace="http://schemas.microsoft.com/office/2006/metadata/properties" ma:root="true" ma:fieldsID="cee5501ff5b83bf1e3f6802c987690d3" ns2:_="">
    <xsd:import namespace="5da1fa8a-620a-457d-b281-b80a19af0e8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1fa8a-620a-457d-b281-b80a19af0e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09031E-44B7-4070-A0F1-B849C40D77DF}">
  <ds:schemaRefs>
    <ds:schemaRef ds:uri="http://schemas.microsoft.com/office/2006/metadata/properties"/>
    <ds:schemaRef ds:uri="http://schemas.microsoft.com/office/infopath/2007/PartnerControls"/>
    <ds:schemaRef ds:uri="94e7c3b1-69ae-4810-82e1-7625ea1c1ef7"/>
  </ds:schemaRefs>
</ds:datastoreItem>
</file>

<file path=customXml/itemProps2.xml><?xml version="1.0" encoding="utf-8"?>
<ds:datastoreItem xmlns:ds="http://schemas.openxmlformats.org/officeDocument/2006/customXml" ds:itemID="{A2A4ACB2-C64F-412E-ACA4-F83815952F4E}"/>
</file>

<file path=customXml/itemProps3.xml><?xml version="1.0" encoding="utf-8"?>
<ds:datastoreItem xmlns:ds="http://schemas.openxmlformats.org/officeDocument/2006/customXml" ds:itemID="{42B5777E-E30B-4E09-A31F-A8038415BB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1666</Words>
  <Characters>9500</Characters>
  <Application>Microsoft Office Word</Application>
  <DocSecurity>0</DocSecurity>
  <Lines>79</Lines>
  <Paragraphs>22</Paragraphs>
  <ScaleCrop>false</ScaleCrop>
  <Company>Osprey Housing</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SRedford</dc:creator>
  <cp:keywords/>
  <dc:description/>
  <cp:lastModifiedBy>Sofia Redford</cp:lastModifiedBy>
  <cp:revision>20</cp:revision>
  <dcterms:created xsi:type="dcterms:W3CDTF">2022-02-14T13:29:00Z</dcterms:created>
  <dcterms:modified xsi:type="dcterms:W3CDTF">2022-04-22T10:26:00Z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0x010100B08577A63678D34E9FB4E0F9BE5B04DC</vt:lpwstr>
  </property>
  <property fmtid="{D5CDD505-2E9C-101B-9397-08002B2CF9AE}" pid="3" name="Order">
    <vt:r8>1926600</vt:r8>
  </property>
  <property fmtid="{D5CDD505-2E9C-101B-9397-08002B2CF9AE}" pid="4" name="MediaServiceImageTags">
    <vt:lpwstr/>
  </property>
  <property fmtid="{D5CDD505-2E9C-101B-9397-08002B2CF9AE}" pid="5" name="xd_Signature">
    <vt:bool>false</vt:bool>
  </property>
  <property fmtid="{D5CDD505-2E9C-101B-9397-08002B2CF9AE}" pid="6" name="SharedWithUsers">
    <vt:lpwstr>67;#Glenn Adcook;#63;#Stacy Angus;#101;#Gary Walker;#14;#Hugh Crothers;#50;#Clare Ruxton</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ies>
</file>